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1B" w:rsidRDefault="00EE6790">
      <w:pPr>
        <w:pStyle w:val="DocumentTitle"/>
        <w:rPr>
          <w:lang w:val="en-AU"/>
        </w:rPr>
      </w:pP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-744220</wp:posOffset>
                </wp:positionH>
                <wp:positionV relativeFrom="paragraph">
                  <wp:posOffset>-998220</wp:posOffset>
                </wp:positionV>
                <wp:extent cx="7609918" cy="5031807"/>
                <wp:effectExtent l="0" t="0" r="10160" b="22860"/>
                <wp:wrapNone/>
                <wp:docPr id="48" name="Text Box 48"/>
                <wp:cNvGraphicFramePr/>
                <a:graphic xmlns:a="http://schemas.openxmlformats.org/drawingml/2006/main">
                  <a:graphicData uri="http://schemas.microsoft.com/office/word/2010/wordprocessingShape">
                    <wps:wsp>
                      <wps:cNvSpPr txBox="1"/>
                      <wps:spPr>
                        <a:xfrm>
                          <a:off x="0" y="0"/>
                          <a:ext cx="7609918" cy="5031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578"/>
                              <w:gridCol w:w="1406"/>
                            </w:tblGrid>
                            <w:tr w:rsidR="00C7221B">
                              <w:tc>
                                <w:tcPr>
                                  <w:tcW w:w="4927" w:type="dxa"/>
                                  <w:shd w:val="clear" w:color="auto" w:fill="000000" w:themeFill="text1"/>
                                  <w:vAlign w:val="center"/>
                                </w:tcPr>
                                <w:p w:rsidR="00C7221B" w:rsidRDefault="00EE6790">
                                  <w:pPr>
                                    <w:pStyle w:val="NoSpacing"/>
                                    <w:jc w:val="center"/>
                                  </w:pPr>
                                  <w:r>
                                    <w:rPr>
                                      <w:noProof/>
                                      <w:lang w:val="en-AU" w:eastAsia="en-AU"/>
                                    </w:rPr>
                                    <w:drawing>
                                      <wp:inline distT="0" distB="0" distL="0" distR="0">
                                        <wp:extent cx="6717364" cy="4484318"/>
                                        <wp:effectExtent l="0" t="0" r="0" b="12065"/>
                                        <wp:docPr id="50" name="Picture 50" descr="WIP:ANROWS:Pull-up banner 1000mm x 2200mm:print:component:Indesign:links:book-pag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P:ANROWS:Pull-up banner 1000mm x 2200mm:print:component:Indesign:links:book-pages-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7364" cy="4484318"/>
                                                </a:xfrm>
                                                <a:prstGeom prst="rect">
                                                  <a:avLst/>
                                                </a:prstGeom>
                                                <a:noFill/>
                                                <a:ln>
                                                  <a:noFill/>
                                                </a:ln>
                                              </pic:spPr>
                                            </pic:pic>
                                          </a:graphicData>
                                        </a:graphic>
                                      </wp:inline>
                                    </w:drawing>
                                  </w:r>
                                </w:p>
                              </w:tc>
                              <w:tc>
                                <w:tcPr>
                                  <w:tcW w:w="4928" w:type="dxa"/>
                                  <w:shd w:val="clear" w:color="auto" w:fill="928F2B"/>
                                  <w:vAlign w:val="center"/>
                                </w:tcPr>
                                <w:p w:rsidR="00C7221B" w:rsidRDefault="00C7221B">
                                  <w:pPr>
                                    <w:pStyle w:val="Heading1"/>
                                    <w:jc w:val="center"/>
                                  </w:pPr>
                                </w:p>
                              </w:tc>
                            </w:tr>
                            <w:tr w:rsidR="00C7221B">
                              <w:trPr>
                                <w:trHeight w:val="725"/>
                              </w:trPr>
                              <w:tc>
                                <w:tcPr>
                                  <w:tcW w:w="4927" w:type="dxa"/>
                                  <w:shd w:val="clear" w:color="auto" w:fill="000000" w:themeFill="text1"/>
                                  <w:vAlign w:val="center"/>
                                </w:tcPr>
                                <w:p w:rsidR="00C7221B" w:rsidRDefault="00C7221B">
                                  <w:pPr>
                                    <w:pStyle w:val="DocumentTitle"/>
                                  </w:pPr>
                                </w:p>
                              </w:tc>
                              <w:tc>
                                <w:tcPr>
                                  <w:tcW w:w="4928" w:type="dxa"/>
                                  <w:shd w:val="clear" w:color="auto" w:fill="7F7F7F" w:themeFill="text1" w:themeFillTint="80"/>
                                  <w:vAlign w:val="center"/>
                                </w:tcPr>
                                <w:p w:rsidR="00C7221B" w:rsidRDefault="00C7221B">
                                  <w:pPr>
                                    <w:pStyle w:val="NoSpacing"/>
                                    <w:jc w:val="center"/>
                                  </w:pPr>
                                </w:p>
                              </w:tc>
                            </w:tr>
                          </w:tbl>
                          <w:p w:rsidR="00C7221B" w:rsidRDefault="00C722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58.6pt;margin-top:-78.6pt;width:599.2pt;height:39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578"/>
                        <w:gridCol w:w="1406"/>
                      </w:tblGrid>
                      <w:tr w:rsidR="00C7221B">
                        <w:tc>
                          <w:tcPr>
                            <w:tcW w:w="4927" w:type="dxa"/>
                            <w:shd w:val="clear" w:color="auto" w:fill="000000" w:themeFill="text1"/>
                            <w:vAlign w:val="center"/>
                          </w:tcPr>
                          <w:p w:rsidR="00C7221B" w:rsidRDefault="00EE6790">
                            <w:pPr>
                              <w:pStyle w:val="NoSpacing"/>
                              <w:jc w:val="center"/>
                            </w:pPr>
                            <w:r>
                              <w:rPr>
                                <w:noProof/>
                                <w:lang w:val="en-AU" w:eastAsia="en-AU"/>
                              </w:rPr>
                              <w:drawing>
                                <wp:inline distT="0" distB="0" distL="0" distR="0">
                                  <wp:extent cx="6717364" cy="4484318"/>
                                  <wp:effectExtent l="0" t="0" r="0" b="12065"/>
                                  <wp:docPr id="50" name="Picture 50" descr="WIP:ANROWS:Pull-up banner 1000mm x 2200mm:print:component:Indesign:links:book-pag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P:ANROWS:Pull-up banner 1000mm x 2200mm:print:component:Indesign:links:book-pages-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7364" cy="4484318"/>
                                          </a:xfrm>
                                          <a:prstGeom prst="rect">
                                            <a:avLst/>
                                          </a:prstGeom>
                                          <a:noFill/>
                                          <a:ln>
                                            <a:noFill/>
                                          </a:ln>
                                        </pic:spPr>
                                      </pic:pic>
                                    </a:graphicData>
                                  </a:graphic>
                                </wp:inline>
                              </w:drawing>
                            </w:r>
                          </w:p>
                        </w:tc>
                        <w:tc>
                          <w:tcPr>
                            <w:tcW w:w="4928" w:type="dxa"/>
                            <w:shd w:val="clear" w:color="auto" w:fill="928F2B"/>
                            <w:vAlign w:val="center"/>
                          </w:tcPr>
                          <w:p w:rsidR="00C7221B" w:rsidRDefault="00C7221B">
                            <w:pPr>
                              <w:pStyle w:val="Heading1"/>
                              <w:jc w:val="center"/>
                            </w:pPr>
                          </w:p>
                        </w:tc>
                      </w:tr>
                      <w:tr w:rsidR="00C7221B">
                        <w:trPr>
                          <w:trHeight w:val="725"/>
                        </w:trPr>
                        <w:tc>
                          <w:tcPr>
                            <w:tcW w:w="4927" w:type="dxa"/>
                            <w:shd w:val="clear" w:color="auto" w:fill="000000" w:themeFill="text1"/>
                            <w:vAlign w:val="center"/>
                          </w:tcPr>
                          <w:p w:rsidR="00C7221B" w:rsidRDefault="00C7221B">
                            <w:pPr>
                              <w:pStyle w:val="DocumentTitle"/>
                            </w:pPr>
                          </w:p>
                        </w:tc>
                        <w:tc>
                          <w:tcPr>
                            <w:tcW w:w="4928" w:type="dxa"/>
                            <w:shd w:val="clear" w:color="auto" w:fill="7F7F7F" w:themeFill="text1" w:themeFillTint="80"/>
                            <w:vAlign w:val="center"/>
                          </w:tcPr>
                          <w:p w:rsidR="00C7221B" w:rsidRDefault="00C7221B">
                            <w:pPr>
                              <w:pStyle w:val="NoSpacing"/>
                              <w:jc w:val="center"/>
                            </w:pPr>
                          </w:p>
                        </w:tc>
                      </w:tr>
                    </w:tbl>
                    <w:p w:rsidR="00C7221B" w:rsidRDefault="00C7221B"/>
                  </w:txbxContent>
                </v:textbox>
              </v:shape>
            </w:pict>
          </mc:Fallback>
        </mc:AlternateContent>
      </w:r>
    </w:p>
    <w:p w:rsidR="00C7221B" w:rsidRDefault="00C7221B">
      <w:pPr>
        <w:pStyle w:val="DocumentTitle"/>
        <w:rPr>
          <w:lang w:val="en-AU"/>
        </w:rPr>
      </w:pPr>
    </w:p>
    <w:p w:rsidR="00C7221B" w:rsidRDefault="00C7221B">
      <w:pPr>
        <w:pStyle w:val="DocumentTitle"/>
        <w:rPr>
          <w:lang w:val="en-AU"/>
        </w:rPr>
      </w:pPr>
    </w:p>
    <w:p w:rsidR="00C7221B" w:rsidRDefault="00C7221B">
      <w:pPr>
        <w:pStyle w:val="DocumentTitle"/>
        <w:rPr>
          <w:lang w:val="en-AU"/>
        </w:rPr>
      </w:pPr>
    </w:p>
    <w:p w:rsidR="00C7221B" w:rsidRDefault="00C7221B">
      <w:pPr>
        <w:rPr>
          <w:lang w:val="en-AU"/>
        </w:rPr>
      </w:pPr>
    </w:p>
    <w:p w:rsidR="00C7221B" w:rsidRDefault="00C7221B">
      <w:pPr>
        <w:pStyle w:val="Title"/>
        <w:rPr>
          <w:lang w:val="en-AU"/>
        </w:rPr>
      </w:pPr>
    </w:p>
    <w:p w:rsidR="00C7221B" w:rsidRDefault="00C7221B">
      <w:pPr>
        <w:rPr>
          <w:lang w:val="en-AU"/>
        </w:rPr>
      </w:pPr>
    </w:p>
    <w:p w:rsidR="00C7221B" w:rsidRDefault="00C7221B">
      <w:pPr>
        <w:rPr>
          <w:lang w:val="en-AU"/>
        </w:rPr>
      </w:pPr>
    </w:p>
    <w:p w:rsidR="00C7221B" w:rsidRDefault="00C7221B">
      <w:pPr>
        <w:rPr>
          <w:lang w:val="en-AU"/>
        </w:rPr>
      </w:pPr>
    </w:p>
    <w:p w:rsidR="00C7221B" w:rsidRDefault="00C7221B">
      <w:pPr>
        <w:rPr>
          <w:lang w:val="en-AU"/>
        </w:rPr>
      </w:pPr>
    </w:p>
    <w:p w:rsidR="00C7221B" w:rsidRDefault="00C7221B">
      <w:pPr>
        <w:rPr>
          <w:lang w:val="en-AU"/>
        </w:rPr>
      </w:pPr>
    </w:p>
    <w:p w:rsidR="00C7221B" w:rsidRDefault="00C7221B">
      <w:pPr>
        <w:rPr>
          <w:lang w:val="en-AU"/>
        </w:rPr>
      </w:pPr>
    </w:p>
    <w:p w:rsidR="00C7221B" w:rsidRDefault="00C7221B">
      <w:pPr>
        <w:rPr>
          <w:lang w:val="en-AU"/>
        </w:rPr>
      </w:pPr>
    </w:p>
    <w:p w:rsidR="00C7221B" w:rsidRDefault="001A4FF7" w:rsidP="001A4FF7">
      <w:pPr>
        <w:tabs>
          <w:tab w:val="left" w:pos="8133"/>
        </w:tabs>
        <w:rPr>
          <w:lang w:val="en-AU"/>
        </w:rPr>
      </w:pPr>
      <w:r>
        <w:rPr>
          <w:lang w:val="en-AU"/>
        </w:rPr>
        <w:tab/>
      </w:r>
    </w:p>
    <w:p w:rsidR="00C7221B" w:rsidRDefault="00C7221B">
      <w:pPr>
        <w:rPr>
          <w:lang w:val="en-AU"/>
        </w:rPr>
      </w:pPr>
    </w:p>
    <w:p w:rsidR="00C7221B" w:rsidRDefault="00EE6790">
      <w:pPr>
        <w:pStyle w:val="CoverTitle"/>
        <w:rPr>
          <w:lang w:val="en-AU"/>
        </w:rPr>
      </w:pPr>
      <w:r>
        <w:rPr>
          <w:lang w:val="en-AU"/>
        </w:rPr>
        <w:t>ANROWS Perpetrator Interventions Research Priorities 2017-19</w:t>
      </w:r>
    </w:p>
    <w:p w:rsidR="00C7221B" w:rsidRDefault="00807B17">
      <w:pPr>
        <w:pStyle w:val="CoverSubheading"/>
        <w:rPr>
          <w:lang w:val="en-AU"/>
        </w:rPr>
      </w:pPr>
      <w:r>
        <w:rPr>
          <w:lang w:val="en-AU"/>
        </w:rPr>
        <w:t>Summary November</w:t>
      </w:r>
      <w:r w:rsidR="009B06FE">
        <w:rPr>
          <w:lang w:val="en-AU"/>
        </w:rPr>
        <w:t xml:space="preserve"> 201</w:t>
      </w:r>
      <w:r w:rsidR="00E8337D">
        <w:rPr>
          <w:lang w:val="en-AU"/>
        </w:rPr>
        <w:t>7</w:t>
      </w:r>
    </w:p>
    <w:p w:rsidR="00C7221B" w:rsidRDefault="00EE6790">
      <w:pPr>
        <w:spacing w:after="0"/>
        <w:rPr>
          <w:rFonts w:eastAsiaTheme="majorEastAsia" w:cstheme="majorBidi"/>
          <w:bCs/>
          <w:color w:val="908F2C"/>
          <w:sz w:val="32"/>
          <w:szCs w:val="32"/>
          <w:lang w:val="en-AU"/>
        </w:rPr>
      </w:pPr>
      <w:r>
        <w:rPr>
          <w:lang w:val="en-AU"/>
        </w:rPr>
        <w:br w:type="page"/>
      </w:r>
    </w:p>
    <w:p w:rsidR="00C7221B" w:rsidRDefault="00C7221B">
      <w:pPr>
        <w:pStyle w:val="NormalWeb"/>
        <w:shd w:val="clear" w:color="auto" w:fill="FFFFFF"/>
        <w:spacing w:before="0" w:beforeAutospacing="0" w:after="120" w:afterAutospacing="0"/>
        <w:rPr>
          <w:rFonts w:ascii="Minion Pro" w:hAnsi="Minion Pro"/>
          <w:color w:val="000000"/>
          <w:sz w:val="22"/>
          <w:szCs w:val="22"/>
        </w:rPr>
      </w:pPr>
    </w:p>
    <w:p w:rsidR="00C7221B" w:rsidRDefault="00EE6790">
      <w:pPr>
        <w:pStyle w:val="Heading1"/>
        <w:spacing w:before="0"/>
        <w:rPr>
          <w:lang w:val="en-AU"/>
        </w:rPr>
      </w:pPr>
      <w:r>
        <w:rPr>
          <w:lang w:val="en-AU"/>
        </w:rPr>
        <w:t xml:space="preserve">Introduction </w:t>
      </w:r>
    </w:p>
    <w:p w:rsidR="00C7221B" w:rsidRDefault="00EE6790">
      <w:pPr>
        <w:pStyle w:val="NormalWeb"/>
        <w:shd w:val="clear" w:color="auto" w:fill="FFFFFF"/>
        <w:spacing w:before="0" w:beforeAutospacing="0" w:after="240" w:afterAutospacing="0"/>
        <w:rPr>
          <w:rFonts w:ascii="Minion Pro" w:hAnsi="Minion Pro"/>
          <w:color w:val="000000"/>
        </w:rPr>
      </w:pPr>
      <w:r>
        <w:rPr>
          <w:rFonts w:ascii="Minion Pro" w:hAnsi="Minion Pro"/>
          <w:color w:val="000000"/>
        </w:rPr>
        <w:t xml:space="preserve">On 20 December 2016, Australia’s National Research Organisation for Women’s Safety (ANROWS) announced a program of research to improve the evidence base for stopping men’s violence against women and holding perpetrators to account.  ANROWS is an initiative of the Council of Australian Governments under the National Plan to Reduce Violence against Women and their Children 2010-2022 (the National Plan). </w:t>
      </w:r>
    </w:p>
    <w:p w:rsidR="00C7221B" w:rsidRDefault="00EE6790">
      <w:pPr>
        <w:pStyle w:val="NormalWeb"/>
        <w:shd w:val="clear" w:color="auto" w:fill="FFFFFF"/>
        <w:spacing w:before="0" w:beforeAutospacing="0" w:after="240" w:afterAutospacing="0"/>
        <w:rPr>
          <w:rFonts w:ascii="Minion Pro" w:hAnsi="Minion Pro"/>
          <w:color w:val="000000"/>
        </w:rPr>
      </w:pPr>
      <w:r>
        <w:rPr>
          <w:rFonts w:ascii="Minion Pro" w:hAnsi="Minion Pro"/>
          <w:color w:val="000000"/>
        </w:rPr>
        <w:t>This set of ANROWS’s Perpetrator Interventions Research</w:t>
      </w:r>
      <w:r w:rsidR="00D95552">
        <w:rPr>
          <w:rFonts w:ascii="Minion Pro" w:hAnsi="Minion Pro"/>
          <w:color w:val="000000"/>
        </w:rPr>
        <w:t xml:space="preserve"> Priorities 2017-19 currently comprises 12</w:t>
      </w:r>
      <w:r>
        <w:rPr>
          <w:rFonts w:ascii="Minion Pro" w:hAnsi="Minion Pro"/>
          <w:color w:val="000000"/>
        </w:rPr>
        <w:t xml:space="preserve"> projects with a to</w:t>
      </w:r>
      <w:r w:rsidR="00D95552">
        <w:rPr>
          <w:rFonts w:ascii="Minion Pro" w:hAnsi="Minion Pro"/>
          <w:color w:val="000000"/>
        </w:rPr>
        <w:t>tal value of just over $1.8</w:t>
      </w:r>
      <w:r>
        <w:rPr>
          <w:rFonts w:ascii="Minion Pro" w:hAnsi="Minion Pro"/>
          <w:color w:val="000000"/>
        </w:rPr>
        <w:t xml:space="preserve"> million. It offers an innovative and comprehensive program of research to support the National Plan to achieve its goals. In particular, these research projects will support implementation of the Council of Australian Governments’ (COAG) National Outcome Standards for Perpetrator Interventions.  </w:t>
      </w:r>
    </w:p>
    <w:p w:rsidR="00C7221B" w:rsidRDefault="00EE6790">
      <w:pPr>
        <w:pStyle w:val="NormalWeb"/>
        <w:shd w:val="clear" w:color="auto" w:fill="FFFFFF"/>
        <w:spacing w:before="0" w:beforeAutospacing="0" w:after="240" w:afterAutospacing="0"/>
        <w:rPr>
          <w:rFonts w:ascii="Minion Pro" w:hAnsi="Minion Pro"/>
          <w:color w:val="000000"/>
        </w:rPr>
      </w:pPr>
      <w:r>
        <w:rPr>
          <w:rFonts w:ascii="Minion Pro" w:hAnsi="Minion Pro"/>
          <w:color w:val="000000"/>
        </w:rPr>
        <w:t xml:space="preserve">Projects will be delivered over the next two years, each addressing a key gap in current evidence on perpetrator interventions. Research findings will inform interventions to reduce re-offending, to better understand the nature of perpetration against high risk groups, to evaluate existing program models, and to determine the characteristics of effective perpetrator intervention programs. </w:t>
      </w:r>
    </w:p>
    <w:p w:rsidR="00D95552" w:rsidRDefault="00D95552">
      <w:pPr>
        <w:pStyle w:val="NormalWeb"/>
        <w:shd w:val="clear" w:color="auto" w:fill="FFFFFF"/>
        <w:spacing w:before="0" w:beforeAutospacing="0" w:after="240" w:afterAutospacing="0"/>
        <w:rPr>
          <w:rFonts w:ascii="Minion Pro" w:hAnsi="Minion Pro"/>
          <w:color w:val="000000"/>
        </w:rPr>
      </w:pPr>
      <w:r>
        <w:rPr>
          <w:rFonts w:ascii="Minion Pro" w:hAnsi="Minion Pro"/>
          <w:color w:val="000000"/>
        </w:rPr>
        <w:t xml:space="preserve">ANROWS expects to be announcing additional research in this area in relation to Research Priority 4.2 </w:t>
      </w:r>
      <w:r w:rsidRPr="00D95552">
        <w:rPr>
          <w:rFonts w:ascii="Minion Pro" w:hAnsi="Minion Pro"/>
          <w:i/>
          <w:color w:val="000000"/>
        </w:rPr>
        <w:t>Understanding role of Lore, law, justice, and culture in interventions with Aboriginal and Torres Strait Islander perpetrators</w:t>
      </w:r>
      <w:r>
        <w:rPr>
          <w:rFonts w:ascii="Minion Pro" w:hAnsi="Minion Pro"/>
          <w:color w:val="000000"/>
        </w:rPr>
        <w:t xml:space="preserve"> in early 2018.</w:t>
      </w:r>
    </w:p>
    <w:p w:rsidR="00C7221B" w:rsidRDefault="00EE6790">
      <w:pPr>
        <w:pStyle w:val="NormalWeb"/>
        <w:shd w:val="clear" w:color="auto" w:fill="FFFFFF"/>
        <w:spacing w:before="0" w:beforeAutospacing="0" w:after="240" w:afterAutospacing="0"/>
        <w:rPr>
          <w:rFonts w:ascii="Minion Pro" w:hAnsi="Minion Pro"/>
          <w:color w:val="000000"/>
        </w:rPr>
      </w:pPr>
      <w:r>
        <w:rPr>
          <w:rFonts w:ascii="Minion Pro" w:hAnsi="Minion Pro"/>
          <w:color w:val="000000"/>
        </w:rPr>
        <w:t xml:space="preserve">More information is available at </w:t>
      </w:r>
      <w:hyperlink r:id="rId9" w:history="1">
        <w:r>
          <w:rPr>
            <w:rStyle w:val="Hyperlink"/>
            <w:rFonts w:ascii="Minion Pro" w:hAnsi="Minion Pro"/>
          </w:rPr>
          <w:t>anrows.org.au/research-program/perpetrator-interventions-research-program</w:t>
        </w:r>
      </w:hyperlink>
      <w:r>
        <w:rPr>
          <w:rFonts w:ascii="Minion Pro" w:hAnsi="Minion Pro"/>
          <w:color w:val="000000"/>
        </w:rPr>
        <w:t xml:space="preserve">. </w:t>
      </w:r>
    </w:p>
    <w:p w:rsidR="00C7221B" w:rsidRDefault="00EE6790">
      <w:pPr>
        <w:autoSpaceDE w:val="0"/>
        <w:autoSpaceDN w:val="0"/>
        <w:ind w:right="521"/>
        <w:rPr>
          <w:rFonts w:eastAsia="Times New Roman" w:cs="Times New Roman"/>
          <w:b/>
          <w:color w:val="000000"/>
          <w:sz w:val="24"/>
          <w:lang w:val="en-AU" w:eastAsia="en-AU"/>
        </w:rPr>
      </w:pPr>
      <w:r>
        <w:rPr>
          <w:rFonts w:eastAsia="Times New Roman" w:cs="Times New Roman"/>
          <w:b/>
          <w:color w:val="000000"/>
          <w:sz w:val="24"/>
          <w:lang w:val="en-AU" w:eastAsia="en-AU"/>
        </w:rPr>
        <w:t>Acknowledgement</w:t>
      </w:r>
    </w:p>
    <w:p w:rsidR="00C7221B" w:rsidRDefault="00EE6790">
      <w:pPr>
        <w:autoSpaceDE w:val="0"/>
        <w:autoSpaceDN w:val="0"/>
        <w:ind w:right="521"/>
        <w:rPr>
          <w:rFonts w:eastAsia="Times New Roman" w:cs="Times New Roman"/>
          <w:color w:val="000000"/>
          <w:szCs w:val="22"/>
          <w:lang w:val="en-AU" w:eastAsia="en-AU"/>
        </w:rPr>
      </w:pPr>
      <w:r>
        <w:rPr>
          <w:rFonts w:eastAsia="Times New Roman" w:cs="Times New Roman"/>
          <w:color w:val="000000"/>
          <w:sz w:val="24"/>
          <w:lang w:val="en-AU" w:eastAsia="en-AU"/>
        </w:rPr>
        <w:t xml:space="preserve">Grant funds available for this research stream were made available to ANROWS by the Australian Government (Department of Social Services).   </w:t>
      </w:r>
    </w:p>
    <w:p w:rsidR="00C7221B" w:rsidRDefault="00C7221B">
      <w:pPr>
        <w:pStyle w:val="CoverSubheading"/>
        <w:rPr>
          <w:color w:val="auto"/>
          <w:lang w:val="en-AU"/>
        </w:rPr>
      </w:pPr>
    </w:p>
    <w:p w:rsidR="00C7221B" w:rsidRDefault="00EE6790">
      <w:pPr>
        <w:spacing w:after="0"/>
        <w:rPr>
          <w:rFonts w:eastAsiaTheme="majorEastAsia" w:cstheme="majorBidi"/>
          <w:bCs/>
          <w:sz w:val="32"/>
          <w:szCs w:val="32"/>
          <w:lang w:val="en-AU"/>
        </w:rPr>
      </w:pPr>
      <w:r>
        <w:rPr>
          <w:lang w:val="en-AU"/>
        </w:rPr>
        <w:br w:type="page"/>
      </w:r>
    </w:p>
    <w:p w:rsidR="00C7221B" w:rsidRDefault="00C7221B">
      <w:pPr>
        <w:rPr>
          <w:lang w:val="en-AU"/>
        </w:rPr>
        <w:sectPr w:rsidR="00C7221B">
          <w:headerReference w:type="default" r:id="rId10"/>
          <w:footerReference w:type="even" r:id="rId11"/>
          <w:footerReference w:type="default" r:id="rId12"/>
          <w:headerReference w:type="first" r:id="rId13"/>
          <w:footerReference w:type="first" r:id="rId14"/>
          <w:pgSz w:w="11900" w:h="16840"/>
          <w:pgMar w:top="1418" w:right="1127" w:bottom="1985" w:left="1134" w:header="708" w:footer="708" w:gutter="0"/>
          <w:cols w:space="708"/>
          <w:titlePg/>
          <w:docGrid w:linePitch="360"/>
        </w:sectPr>
      </w:pPr>
      <w:bookmarkStart w:id="0" w:name="_Toc261092516"/>
    </w:p>
    <w:p w:rsidR="00C7221B" w:rsidRDefault="00EE6790">
      <w:pPr>
        <w:pStyle w:val="Heading1"/>
        <w:spacing w:before="0"/>
        <w:rPr>
          <w:lang w:val="en-AU"/>
        </w:rPr>
      </w:pPr>
      <w:r>
        <w:rPr>
          <w:lang w:val="en-AU"/>
        </w:rPr>
        <w:lastRenderedPageBreak/>
        <w:t>ANROWS Perpetrator Interventions Research Priorities 2017-19</w:t>
      </w:r>
    </w:p>
    <w:p w:rsidR="00C7221B" w:rsidRDefault="00EE6790">
      <w:pPr>
        <w:spacing w:before="240" w:after="80"/>
        <w:rPr>
          <w:rFonts w:cs="Arial"/>
          <w:b/>
          <w:sz w:val="28"/>
          <w:szCs w:val="28"/>
          <w:lang w:val="en-AU"/>
        </w:rPr>
      </w:pPr>
      <w:r>
        <w:rPr>
          <w:rFonts w:cs="Arial"/>
          <w:b/>
          <w:color w:val="928F2B"/>
          <w:sz w:val="28"/>
          <w:szCs w:val="28"/>
          <w:lang w:val="en-AU"/>
        </w:rPr>
        <w:t xml:space="preserve">Strategic Research Theme 1 </w:t>
      </w:r>
      <w:r>
        <w:rPr>
          <w:rFonts w:cs="Arial"/>
          <w:b/>
          <w:sz w:val="28"/>
          <w:szCs w:val="28"/>
          <w:lang w:val="en-AU"/>
        </w:rPr>
        <w:t xml:space="preserve">System effectiveness </w:t>
      </w:r>
    </w:p>
    <w:tbl>
      <w:tblPr>
        <w:tblStyle w:val="TableGrid"/>
        <w:tblW w:w="2140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3"/>
        <w:gridCol w:w="1814"/>
        <w:gridCol w:w="7828"/>
        <w:gridCol w:w="1287"/>
        <w:gridCol w:w="1656"/>
        <w:gridCol w:w="6697"/>
      </w:tblGrid>
      <w:tr w:rsidR="00C7221B">
        <w:trPr>
          <w:tblHeader/>
        </w:trPr>
        <w:tc>
          <w:tcPr>
            <w:tcW w:w="2123" w:type="dxa"/>
            <w:tcBorders>
              <w:top w:val="single" w:sz="4" w:space="0" w:color="auto"/>
              <w:bottom w:val="single" w:sz="8"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Research priority </w:t>
            </w:r>
          </w:p>
        </w:tc>
        <w:tc>
          <w:tcPr>
            <w:tcW w:w="1814"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Project title</w:t>
            </w:r>
          </w:p>
        </w:tc>
        <w:tc>
          <w:tcPr>
            <w:tcW w:w="7828"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Summary</w:t>
            </w:r>
          </w:p>
        </w:tc>
        <w:tc>
          <w:tcPr>
            <w:tcW w:w="1287"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Length and budget </w:t>
            </w:r>
          </w:p>
        </w:tc>
        <w:tc>
          <w:tcPr>
            <w:tcW w:w="1656"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Jurisdiction</w:t>
            </w:r>
          </w:p>
        </w:tc>
        <w:tc>
          <w:tcPr>
            <w:tcW w:w="6697"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Research Team</w:t>
            </w:r>
          </w:p>
        </w:tc>
      </w:tr>
      <w:tr w:rsidR="00C7221B">
        <w:tc>
          <w:tcPr>
            <w:tcW w:w="2123"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1.1 Meta-evaluation of where perpetrator interventions are, and should be, situated within the overall response to violence against women and their children </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br/>
              <w:t xml:space="preserve">&amp; </w:t>
            </w:r>
            <w:r>
              <w:rPr>
                <w:rFonts w:eastAsia="Times New Roman" w:cs="Times New Roman"/>
                <w:color w:val="000000"/>
                <w:sz w:val="24"/>
                <w:lang w:val="en-AU" w:eastAsia="en-AU"/>
              </w:rPr>
              <w:br/>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2.4 Effectively engaging and retaining perpetrators in interventions </w:t>
            </w:r>
          </w:p>
        </w:tc>
        <w:tc>
          <w:tcPr>
            <w:tcW w:w="1814" w:type="dxa"/>
            <w:tcBorders>
              <w:top w:val="single" w:sz="8" w:space="0" w:color="928F2B"/>
              <w:bottom w:val="single" w:sz="8" w:space="0" w:color="928F2B"/>
            </w:tcBorders>
            <w:shd w:val="clear" w:color="auto" w:fill="auto"/>
          </w:tcPr>
          <w:p w:rsidR="00C7221B" w:rsidRDefault="009B06FE" w:rsidP="009B06FE">
            <w:pPr>
              <w:rPr>
                <w:rFonts w:eastAsia="Times New Roman" w:cs="Times New Roman"/>
                <w:color w:val="000000"/>
                <w:sz w:val="24"/>
                <w:lang w:val="en-AU" w:eastAsia="en-AU"/>
              </w:rPr>
            </w:pPr>
            <w:r w:rsidRPr="009B06FE">
              <w:rPr>
                <w:rFonts w:eastAsia="Times New Roman" w:cs="Times New Roman"/>
                <w:color w:val="000000"/>
                <w:sz w:val="24"/>
                <w:lang w:val="en-AU" w:eastAsia="en-AU"/>
              </w:rPr>
              <w:t>Improved accountability – the role of the perpetrator intervention systems</w:t>
            </w:r>
            <w:r w:rsidR="00EE6790">
              <w:rPr>
                <w:rFonts w:eastAsia="Times New Roman" w:cs="Times New Roman"/>
                <w:color w:val="000000"/>
                <w:sz w:val="24"/>
                <w:lang w:val="en-AU" w:eastAsia="en-AU"/>
              </w:rPr>
              <w:br/>
            </w:r>
          </w:p>
        </w:tc>
        <w:tc>
          <w:tcPr>
            <w:tcW w:w="7828"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The research will:</w:t>
            </w:r>
            <w:r>
              <w:rPr>
                <w:rFonts w:eastAsia="Times New Roman" w:cs="Times New Roman"/>
                <w:color w:val="000000"/>
                <w:sz w:val="24"/>
                <w:lang w:val="en-AU" w:eastAsia="en-AU"/>
              </w:rPr>
              <w:br/>
              <w:t xml:space="preserve">• Provide a comprehensive analysis of research on integrated systems and interventions for perpetrators, and undertake service mapping of current domestic and family violence (DFV) and sexual violence (SV) responses incorporating interventions across the continuum of responses from primary prevention to tertiary interventions (Component One); and </w:t>
            </w:r>
            <w:r>
              <w:rPr>
                <w:rFonts w:eastAsia="Times New Roman" w:cs="Times New Roman"/>
                <w:color w:val="000000"/>
                <w:sz w:val="24"/>
                <w:lang w:val="en-AU" w:eastAsia="en-AU"/>
              </w:rPr>
              <w:br/>
              <w:t xml:space="preserve">• Examine how the tracking, engagement and retention of perpetrators within Systems of Perpetrator Interventions (SIPs) can be enhanced (Component Two). </w:t>
            </w:r>
            <w:r>
              <w:rPr>
                <w:rFonts w:eastAsia="Times New Roman" w:cs="Times New Roman"/>
                <w:color w:val="000000"/>
                <w:sz w:val="24"/>
                <w:lang w:val="en-AU" w:eastAsia="en-AU"/>
              </w:rPr>
              <w:br/>
            </w:r>
            <w:r>
              <w:rPr>
                <w:rFonts w:eastAsia="Times New Roman" w:cs="Times New Roman"/>
                <w:color w:val="000000"/>
                <w:sz w:val="24"/>
                <w:lang w:val="en-AU" w:eastAsia="en-AU"/>
              </w:rPr>
              <w:br/>
              <w:t>The research project includes:</w:t>
            </w:r>
            <w:r>
              <w:rPr>
                <w:rFonts w:eastAsia="Times New Roman" w:cs="Times New Roman"/>
                <w:color w:val="000000"/>
                <w:sz w:val="24"/>
                <w:lang w:val="en-AU" w:eastAsia="en-AU"/>
              </w:rPr>
              <w:br/>
              <w:t xml:space="preserve">• A meta-evaluation for Component One, comprising a number of evidence reviews ranging from the policy and system design through to the individual interventions; and </w:t>
            </w:r>
            <w:r>
              <w:rPr>
                <w:rFonts w:eastAsia="Times New Roman" w:cs="Times New Roman"/>
                <w:color w:val="000000"/>
                <w:sz w:val="24"/>
                <w:lang w:val="en-AU" w:eastAsia="en-AU"/>
              </w:rPr>
              <w:br/>
              <w:t xml:space="preserve">• A mixed method approach for Component Two, including – analysis of legislation and policy underpinning the SIPs;  a series of case studies examining current pathways, practices of specialist and mainstream agencies; and, the development and trial (30 sites) of a data collection and management framework. </w:t>
            </w:r>
            <w:r>
              <w:rPr>
                <w:rFonts w:eastAsia="Times New Roman" w:cs="Times New Roman"/>
                <w:color w:val="000000"/>
                <w:sz w:val="24"/>
                <w:lang w:val="en-AU" w:eastAsia="en-AU"/>
              </w:rPr>
              <w:br/>
            </w:r>
            <w:r>
              <w:rPr>
                <w:rFonts w:eastAsia="Times New Roman" w:cs="Times New Roman"/>
                <w:color w:val="000000"/>
                <w:sz w:val="24"/>
                <w:lang w:val="en-AU" w:eastAsia="en-AU"/>
              </w:rPr>
              <w:br/>
              <w:t xml:space="preserve">The case studies for Component Two will include: </w:t>
            </w:r>
            <w:r>
              <w:rPr>
                <w:rFonts w:eastAsia="Times New Roman" w:cs="Times New Roman"/>
                <w:color w:val="000000"/>
                <w:sz w:val="24"/>
                <w:lang w:val="en-AU" w:eastAsia="en-AU"/>
              </w:rPr>
              <w:br/>
              <w:t>• a NSW response to sexual violence and abuse by young offenders;</w:t>
            </w:r>
            <w:r>
              <w:rPr>
                <w:rFonts w:eastAsia="Times New Roman" w:cs="Times New Roman"/>
                <w:color w:val="000000"/>
                <w:sz w:val="24"/>
                <w:lang w:val="en-AU" w:eastAsia="en-AU"/>
              </w:rPr>
              <w:br/>
              <w:t xml:space="preserve">• a pathways case study that will track perpetrators’ movement through the Southern Melbourne Integrated Family Violence Partnership; </w:t>
            </w:r>
            <w:r>
              <w:rPr>
                <w:rFonts w:eastAsia="Times New Roman" w:cs="Times New Roman"/>
                <w:color w:val="000000"/>
                <w:sz w:val="24"/>
                <w:lang w:val="en-AU" w:eastAsia="en-AU"/>
              </w:rPr>
              <w:br/>
              <w:t xml:space="preserve">• a practice case study of four Men’s Behaviour Change Programs operating within the Bayside Peninsula Integrated Family Violence Partnership using an action research approach to explore strategies effective in engaging men; and </w:t>
            </w:r>
            <w:r>
              <w:rPr>
                <w:rFonts w:eastAsia="Times New Roman" w:cs="Times New Roman"/>
                <w:color w:val="000000"/>
                <w:sz w:val="24"/>
                <w:lang w:val="en-AU" w:eastAsia="en-AU"/>
              </w:rPr>
              <w:br/>
              <w:t>• case studies in QLD, WA and Vic to compare different pathways to engagement and retention of perpetrators.</w:t>
            </w:r>
          </w:p>
          <w:p w:rsidR="00C7221B" w:rsidRDefault="00C7221B">
            <w:pPr>
              <w:spacing w:after="0"/>
              <w:rPr>
                <w:rFonts w:eastAsia="Times New Roman" w:cs="Times New Roman"/>
                <w:color w:val="000000"/>
                <w:sz w:val="24"/>
                <w:lang w:val="en-AU" w:eastAsia="en-AU"/>
              </w:rPr>
            </w:pPr>
          </w:p>
        </w:tc>
        <w:tc>
          <w:tcPr>
            <w:tcW w:w="128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2 years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$441,513</w:t>
            </w:r>
          </w:p>
        </w:tc>
        <w:tc>
          <w:tcPr>
            <w:tcW w:w="1656"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WA</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br/>
              <w:t>1. VIC</w:t>
            </w:r>
            <w:r>
              <w:rPr>
                <w:rFonts w:eastAsia="Times New Roman" w:cs="Times New Roman"/>
                <w:color w:val="000000"/>
                <w:sz w:val="24"/>
                <w:lang w:val="en-AU" w:eastAsia="en-AU"/>
              </w:rPr>
              <w:br/>
              <w:t>2. NSW</w:t>
            </w:r>
            <w:r>
              <w:rPr>
                <w:rFonts w:eastAsia="Times New Roman" w:cs="Times New Roman"/>
                <w:color w:val="000000"/>
                <w:sz w:val="24"/>
                <w:lang w:val="en-AU" w:eastAsia="en-AU"/>
              </w:rPr>
              <w:br/>
              <w:t>3. QLD</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National</w:t>
            </w:r>
            <w:r>
              <w:rPr>
                <w:rFonts w:eastAsia="Times New Roman" w:cs="Times New Roman"/>
                <w:color w:val="000000"/>
                <w:sz w:val="24"/>
                <w:lang w:val="en-AU" w:eastAsia="en-AU"/>
              </w:rPr>
              <w:br/>
              <w:t>2. NSW</w:t>
            </w:r>
            <w:r>
              <w:rPr>
                <w:rFonts w:eastAsia="Times New Roman" w:cs="Times New Roman"/>
                <w:color w:val="000000"/>
                <w:sz w:val="24"/>
                <w:lang w:val="en-AU" w:eastAsia="en-AU"/>
              </w:rPr>
              <w:br/>
              <w:t>3. VIC</w:t>
            </w:r>
            <w:r>
              <w:rPr>
                <w:rFonts w:eastAsia="Times New Roman" w:cs="Times New Roman"/>
                <w:color w:val="000000"/>
                <w:sz w:val="24"/>
                <w:lang w:val="en-AU" w:eastAsia="en-AU"/>
              </w:rPr>
              <w:br/>
              <w:t>4. WA</w:t>
            </w:r>
            <w:r>
              <w:rPr>
                <w:rFonts w:eastAsia="Times New Roman" w:cs="Times New Roman"/>
                <w:color w:val="000000"/>
                <w:sz w:val="24"/>
                <w:lang w:val="en-AU" w:eastAsia="en-AU"/>
              </w:rPr>
              <w:br/>
              <w:t>5. SA</w:t>
            </w:r>
            <w:r>
              <w:rPr>
                <w:rFonts w:eastAsia="Times New Roman" w:cs="Times New Roman"/>
                <w:color w:val="000000"/>
                <w:sz w:val="24"/>
                <w:lang w:val="en-AU" w:eastAsia="en-AU"/>
              </w:rPr>
              <w:br/>
              <w:t>6. QLD</w:t>
            </w:r>
          </w:p>
        </w:tc>
        <w:tc>
          <w:tcPr>
            <w:tcW w:w="6697"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 xml:space="preserve">Lead: Prof Donna Chung, Curtin </w:t>
            </w:r>
            <w:r>
              <w:rPr>
                <w:rFonts w:eastAsia="Times New Roman" w:cs="Times New Roman"/>
                <w:b/>
                <w:color w:val="000000"/>
                <w:sz w:val="24"/>
                <w:lang w:val="en-AU" w:eastAsia="en-AU"/>
              </w:rPr>
              <w:t>University</w:t>
            </w:r>
            <w:r>
              <w:rPr>
                <w:rFonts w:eastAsia="Times New Roman" w:cs="Times New Roman"/>
                <w:b/>
                <w:bCs/>
                <w:color w:val="000000"/>
                <w:sz w:val="24"/>
                <w:lang w:val="en-AU" w:eastAsia="en-AU"/>
              </w:rPr>
              <w:br/>
            </w:r>
            <w:r>
              <w:rPr>
                <w:rFonts w:eastAsia="Times New Roman" w:cs="Times New Roman"/>
                <w:b/>
                <w:bCs/>
                <w:color w:val="000000"/>
                <w:sz w:val="24"/>
                <w:lang w:val="en-AU" w:eastAsia="en-AU"/>
              </w:rPr>
              <w:br/>
              <w:t>Research expertise</w:t>
            </w:r>
            <w:r>
              <w:rPr>
                <w:rFonts w:eastAsia="Times New Roman" w:cs="Times New Roman"/>
                <w:b/>
                <w:bCs/>
                <w:color w:val="000000"/>
                <w:sz w:val="24"/>
                <w:lang w:val="en-AU" w:eastAsia="en-AU"/>
              </w:rPr>
              <w:br/>
            </w:r>
            <w:r>
              <w:rPr>
                <w:rFonts w:eastAsia="Times New Roman" w:cs="Times New Roman"/>
                <w:color w:val="000000"/>
                <w:sz w:val="24"/>
                <w:lang w:val="en-AU" w:eastAsia="en-AU"/>
              </w:rPr>
              <w:t>1.     Mr Damian Green, Curtin University</w:t>
            </w:r>
            <w:r>
              <w:rPr>
                <w:rFonts w:eastAsia="Times New Roman" w:cs="Times New Roman"/>
                <w:color w:val="000000"/>
                <w:sz w:val="24"/>
                <w:lang w:val="en-AU" w:eastAsia="en-AU"/>
              </w:rPr>
              <w:br/>
              <w:t>2.     A/Professor Reinie Cordier, Curtin University</w:t>
            </w:r>
            <w:r>
              <w:rPr>
                <w:rFonts w:eastAsia="Times New Roman" w:cs="Times New Roman"/>
                <w:color w:val="000000"/>
                <w:sz w:val="24"/>
                <w:lang w:val="en-AU" w:eastAsia="en-AU"/>
              </w:rPr>
              <w:br/>
              <w:t>3.     Ms Elena Campbell, RMIT</w:t>
            </w:r>
            <w:r>
              <w:rPr>
                <w:rFonts w:eastAsia="Times New Roman" w:cs="Times New Roman"/>
                <w:color w:val="000000"/>
                <w:sz w:val="24"/>
                <w:lang w:val="en-AU" w:eastAsia="en-AU"/>
              </w:rPr>
              <w:br/>
              <w:t xml:space="preserve">4.     A/Professor Jan Breckenridge, UNSW </w:t>
            </w:r>
            <w:r>
              <w:rPr>
                <w:rFonts w:eastAsia="Times New Roman" w:cs="Times New Roman"/>
                <w:color w:val="000000"/>
                <w:sz w:val="24"/>
                <w:lang w:val="en-AU" w:eastAsia="en-AU"/>
              </w:rPr>
              <w:br/>
              <w:t xml:space="preserve">5.     Michael Salter, University of Western Sydney </w:t>
            </w:r>
            <w:r>
              <w:rPr>
                <w:rFonts w:eastAsia="Times New Roman" w:cs="Times New Roman"/>
                <w:color w:val="000000"/>
                <w:sz w:val="24"/>
                <w:lang w:val="en-AU" w:eastAsia="en-AU"/>
              </w:rPr>
              <w:br/>
              <w:t>6.     A/Professor Therese Jefferson, Curtin University</w:t>
            </w:r>
            <w:r>
              <w:rPr>
                <w:rFonts w:eastAsia="Times New Roman" w:cs="Times New Roman"/>
                <w:color w:val="000000"/>
                <w:sz w:val="24"/>
                <w:lang w:val="en-AU" w:eastAsia="en-AU"/>
              </w:rPr>
              <w:br/>
              <w:t>7.     A/Professor Siobhan Austin, Curtin University</w:t>
            </w:r>
            <w:r>
              <w:rPr>
                <w:rFonts w:eastAsia="Times New Roman" w:cs="Times New Roman"/>
                <w:color w:val="000000"/>
                <w:sz w:val="24"/>
                <w:lang w:val="en-AU" w:eastAsia="en-AU"/>
              </w:rPr>
              <w:br/>
              <w:t>8.     Professor Patrick O’Leary, Griffith University</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Practitioner expertise</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Mr Rodney Vlais </w:t>
            </w:r>
          </w:p>
          <w:p w:rsidR="00C7221B" w:rsidRDefault="00C7221B">
            <w:pPr>
              <w:spacing w:after="0"/>
              <w:rPr>
                <w:rFonts w:eastAsia="Times New Roman" w:cs="Times New Roman"/>
                <w:color w:val="000000"/>
                <w:sz w:val="24"/>
                <w:lang w:val="en-AU" w:eastAsia="en-AU"/>
              </w:rPr>
            </w:pPr>
          </w:p>
          <w:p w:rsidR="00C7221B" w:rsidRDefault="00EE6790">
            <w:pPr>
              <w:spacing w:after="0" w:line="192" w:lineRule="auto"/>
              <w:rPr>
                <w:rFonts w:eastAsia="Times New Roman" w:cs="Times New Roman"/>
                <w:b/>
                <w:sz w:val="24"/>
                <w:lang w:val="en-AU" w:eastAsia="en-AU"/>
              </w:rPr>
            </w:pPr>
            <w:r>
              <w:rPr>
                <w:rFonts w:eastAsia="Times New Roman" w:cs="Times New Roman"/>
                <w:b/>
                <w:sz w:val="24"/>
                <w:lang w:val="en-AU" w:eastAsia="en-AU"/>
              </w:rPr>
              <w:t>Research partners</w:t>
            </w:r>
          </w:p>
          <w:p w:rsidR="00C7221B" w:rsidRDefault="00EE6790" w:rsidP="0014465C">
            <w:pPr>
              <w:spacing w:before="40" w:after="160"/>
              <w:rPr>
                <w:sz w:val="24"/>
                <w:lang w:val="en-AU"/>
              </w:rPr>
            </w:pPr>
            <w:r>
              <w:rPr>
                <w:rFonts w:eastAsia="Times New Roman" w:cs="Times New Roman"/>
                <w:color w:val="000000"/>
                <w:sz w:val="24"/>
                <w:lang w:val="en-AU" w:eastAsia="en-AU"/>
              </w:rPr>
              <w:t>Research partners from across a number of jurisdictions and including specialist FDV services for perpetrators and victims, courts, health and human service agencies from the government and not for profit sectors.</w:t>
            </w:r>
          </w:p>
        </w:tc>
      </w:tr>
      <w:tr w:rsidR="00C7221B">
        <w:trPr>
          <w:cantSplit/>
        </w:trPr>
        <w:tc>
          <w:tcPr>
            <w:tcW w:w="2123" w:type="dxa"/>
            <w:tcBorders>
              <w:top w:val="single" w:sz="8" w:space="0" w:color="928F2B"/>
              <w:bottom w:val="single" w:sz="8" w:space="0" w:color="928F2B"/>
              <w:tl2br w:val="nil"/>
            </w:tcBorders>
            <w:shd w:val="clear" w:color="auto" w:fill="auto"/>
          </w:tcPr>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lastRenderedPageBreak/>
              <w:t>1.2 Evaluation of specific system responses Perpetrator Interventions in Australia: A national study of judicial views and sentencing practice for domestic violence offenders</w:t>
            </w:r>
          </w:p>
        </w:tc>
        <w:tc>
          <w:tcPr>
            <w:tcW w:w="1814"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Perpetrator interventions in Australia: A national study of judicial views and sentencing practice for domestic violence offenders</w:t>
            </w:r>
          </w:p>
        </w:tc>
        <w:tc>
          <w:tcPr>
            <w:tcW w:w="7828"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Despite increasing acknowledgement of the importance of perpetrator </w:t>
            </w:r>
            <w:bookmarkStart w:id="1" w:name="_GoBack"/>
            <w:bookmarkEnd w:id="1"/>
            <w:r>
              <w:rPr>
                <w:rFonts w:eastAsia="Times New Roman" w:cs="Times New Roman"/>
                <w:color w:val="000000"/>
                <w:sz w:val="24"/>
                <w:lang w:val="en-AU" w:eastAsia="en-AU"/>
              </w:rPr>
              <w:t>interventions in the delivery of integrated responses to DFV and promoting perpetrator accountability, there remains very little understanding of how magistrates and other judicial officers view, manage and use perpetrator interventions.</w:t>
            </w:r>
            <w:r>
              <w:rPr>
                <w:rFonts w:eastAsia="Times New Roman" w:cs="Times New Roman"/>
                <w:color w:val="000000"/>
                <w:sz w:val="24"/>
                <w:lang w:val="en-AU" w:eastAsia="en-AU"/>
              </w:rPr>
              <w:br/>
            </w:r>
            <w:r>
              <w:rPr>
                <w:rFonts w:eastAsia="Times New Roman" w:cs="Times New Roman"/>
                <w:color w:val="000000"/>
                <w:sz w:val="24"/>
                <w:lang w:val="en-AU" w:eastAsia="en-AU"/>
              </w:rPr>
              <w:br/>
              <w:t xml:space="preserve">This qualitative mixed method study will utilise case analysis of sentencing remarks (homicide and breach convictions), interviews with judicial officers, and documentary and policy analysis to examine the use, influence and management of perpetrator interventions in sentencing of recidivist and high risk DV offenders.  It aims to document the extent to which histories of perpetrator interventions are present, and the influence of these on sentencing, including an exploration of the views of magistrates and judicial officers on their use.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 xml:space="preserve">Research Phase 1: Case analysis </w:t>
            </w:r>
            <w:r>
              <w:rPr>
                <w:rFonts w:eastAsia="Times New Roman" w:cs="Times New Roman"/>
                <w:color w:val="000000"/>
                <w:sz w:val="24"/>
                <w:lang w:val="en-AU" w:eastAsia="en-AU"/>
              </w:rPr>
              <w:br/>
              <w:t xml:space="preserve">An analysis of five years of sentencing judgments from two offence groups will be undertaken. The research will undertake a national and state based study of: </w:t>
            </w:r>
            <w:r>
              <w:rPr>
                <w:rFonts w:eastAsia="Times New Roman" w:cs="Times New Roman"/>
                <w:color w:val="000000"/>
                <w:sz w:val="24"/>
                <w:lang w:val="en-AU" w:eastAsia="en-AU"/>
              </w:rPr>
              <w:br/>
              <w:t>• Remarks made about perpetrator interventions during the sentencing of domestic homicide offenders across Australia for a five-year period.</w:t>
            </w:r>
            <w:r>
              <w:rPr>
                <w:rFonts w:eastAsia="Times New Roman" w:cs="Times New Roman"/>
                <w:color w:val="000000"/>
                <w:sz w:val="24"/>
                <w:lang w:val="en-AU" w:eastAsia="en-AU"/>
              </w:rPr>
              <w:br/>
              <w:t xml:space="preserve">• Remarks made during the sentencing of offenders convicted of breach of an intervention order in Victoria. </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br/>
              <w:t>Data from a range of sources will be used.</w:t>
            </w:r>
            <w:r>
              <w:rPr>
                <w:rFonts w:eastAsia="Times New Roman" w:cs="Times New Roman"/>
                <w:color w:val="000000"/>
                <w:sz w:val="24"/>
                <w:lang w:val="en-AU" w:eastAsia="en-AU"/>
              </w:rPr>
              <w:br/>
              <w:t xml:space="preserve"> </w:t>
            </w:r>
            <w:r>
              <w:rPr>
                <w:rFonts w:eastAsia="Times New Roman" w:cs="Times New Roman"/>
                <w:color w:val="000000"/>
                <w:sz w:val="24"/>
                <w:lang w:val="en-AU" w:eastAsia="en-AU"/>
              </w:rPr>
              <w:br/>
            </w:r>
            <w:r>
              <w:rPr>
                <w:rFonts w:eastAsia="Times New Roman" w:cs="Times New Roman"/>
                <w:b/>
                <w:bCs/>
                <w:color w:val="000000"/>
                <w:sz w:val="24"/>
                <w:lang w:val="en-AU" w:eastAsia="en-AU"/>
              </w:rPr>
              <w:t xml:space="preserve">Research Phase 2: In-depth interviews </w:t>
            </w:r>
            <w:r>
              <w:rPr>
                <w:rFonts w:eastAsia="Times New Roman" w:cs="Times New Roman"/>
                <w:color w:val="000000"/>
                <w:sz w:val="24"/>
                <w:lang w:val="en-AU" w:eastAsia="en-AU"/>
              </w:rPr>
              <w:br/>
              <w:t xml:space="preserve">These will be completed to examine judicial views on the use, management and extent of perpetrator interventions for domestic violence offenders. Interviews will be conducted in each state and territory with two levels of the judiciary – specialist family/domestic violence magistrates and criminal court judges. In each of the larger states (Victoria, NSW, Western Australia, Queensland) 10-12 interviews will be conducted. In each of the smaller jurisdictions (Tasmania, South Australia, Australian Capital Territory) five interviews will be conducted.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
                <w:color w:val="000000"/>
                <w:sz w:val="24"/>
                <w:lang w:val="en-AU" w:eastAsia="en-AU"/>
              </w:rPr>
              <w:t>Research Phase 3: Documentary and policy analysis</w:t>
            </w:r>
            <w:r>
              <w:rPr>
                <w:rFonts w:eastAsia="Times New Roman" w:cs="Times New Roman"/>
                <w:color w:val="000000"/>
                <w:sz w:val="24"/>
                <w:lang w:val="en-AU" w:eastAsia="en-AU"/>
              </w:rPr>
              <w:br/>
              <w:t xml:space="preserve">Findings from the case analyses and in-depth interviews will be combined with a documentary analysis of current national and international best practice. </w:t>
            </w:r>
          </w:p>
        </w:tc>
        <w:tc>
          <w:tcPr>
            <w:tcW w:w="128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1.5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$179,890</w:t>
            </w:r>
          </w:p>
        </w:tc>
        <w:tc>
          <w:tcPr>
            <w:tcW w:w="1656"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VIC</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t xml:space="preserve"> VIC</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National</w:t>
            </w:r>
            <w:r>
              <w:rPr>
                <w:rFonts w:eastAsia="Times New Roman" w:cs="Times New Roman"/>
                <w:color w:val="000000"/>
                <w:sz w:val="24"/>
                <w:lang w:val="en-AU" w:eastAsia="en-AU"/>
              </w:rPr>
              <w:br/>
              <w:t>2. VIC</w:t>
            </w:r>
            <w:r>
              <w:rPr>
                <w:rFonts w:eastAsia="Times New Roman" w:cs="Times New Roman"/>
                <w:color w:val="000000"/>
                <w:sz w:val="24"/>
                <w:lang w:val="en-AU" w:eastAsia="en-AU"/>
              </w:rPr>
              <w:br/>
              <w:t>3. TAS</w:t>
            </w:r>
          </w:p>
        </w:tc>
        <w:tc>
          <w:tcPr>
            <w:tcW w:w="6697"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 xml:space="preserve">Lead: Dr Kate Fitz-Gibbon, Monash University </w:t>
            </w:r>
            <w:r>
              <w:rPr>
                <w:rFonts w:eastAsia="Times New Roman" w:cs="Times New Roman"/>
                <w:b/>
                <w:bCs/>
                <w:color w:val="000000"/>
                <w:sz w:val="24"/>
                <w:lang w:val="en-AU" w:eastAsia="en-AU"/>
              </w:rPr>
              <w:br/>
            </w:r>
            <w:r>
              <w:rPr>
                <w:rFonts w:eastAsia="Times New Roman" w:cs="Times New Roman"/>
                <w:b/>
                <w:bCs/>
                <w:color w:val="000000"/>
                <w:sz w:val="24"/>
                <w:lang w:val="en-AU" w:eastAsia="en-AU"/>
              </w:rPr>
              <w:br/>
              <w:t>Research expertise</w:t>
            </w:r>
            <w:r>
              <w:rPr>
                <w:rFonts w:eastAsia="Times New Roman" w:cs="Times New Roman"/>
                <w:color w:val="000000"/>
                <w:sz w:val="24"/>
                <w:lang w:val="en-AU" w:eastAsia="en-AU"/>
              </w:rPr>
              <w:br/>
              <w:t>1. A/Prof Jane Maree Maher, Monash University</w:t>
            </w:r>
            <w:r>
              <w:rPr>
                <w:rFonts w:eastAsia="Times New Roman" w:cs="Times New Roman"/>
                <w:color w:val="000000"/>
                <w:sz w:val="24"/>
                <w:lang w:val="en-AU" w:eastAsia="en-AU"/>
              </w:rPr>
              <w:br/>
              <w:t xml:space="preserve">2. Prof Jude McCulloch, Monash University </w:t>
            </w:r>
            <w:r>
              <w:rPr>
                <w:rFonts w:eastAsia="Times New Roman" w:cs="Times New Roman"/>
                <w:color w:val="000000"/>
                <w:sz w:val="24"/>
                <w:lang w:val="en-AU" w:eastAsia="en-AU"/>
              </w:rPr>
              <w:br/>
              <w:t xml:space="preserve">3. Prof Gregory Reinhardt, The Australasian Institute of Judicial Administration </w:t>
            </w:r>
            <w:r>
              <w:rPr>
                <w:rFonts w:eastAsia="Times New Roman" w:cs="Times New Roman"/>
                <w:color w:val="000000"/>
                <w:sz w:val="24"/>
                <w:lang w:val="en-AU" w:eastAsia="en-AU"/>
              </w:rPr>
              <w:br/>
            </w:r>
            <w:r>
              <w:rPr>
                <w:rFonts w:eastAsia="Times New Roman" w:cs="Times New Roman"/>
                <w:b/>
                <w:bCs/>
                <w:color w:val="000000"/>
                <w:sz w:val="24"/>
                <w:lang w:val="en-AU" w:eastAsia="en-AU"/>
              </w:rPr>
              <w:br/>
              <w:t>Policy expertise</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Ms Cynthia </w:t>
            </w:r>
            <w:r w:rsidR="00FF11EB">
              <w:rPr>
                <w:rFonts w:eastAsia="Times New Roman" w:cs="Times New Roman"/>
                <w:color w:val="000000"/>
                <w:sz w:val="24"/>
                <w:lang w:val="en-AU" w:eastAsia="en-AU"/>
              </w:rPr>
              <w:t>M</w:t>
            </w:r>
            <w:r>
              <w:rPr>
                <w:rFonts w:eastAsia="Times New Roman" w:cs="Times New Roman"/>
                <w:color w:val="000000"/>
                <w:sz w:val="24"/>
                <w:lang w:val="en-AU" w:eastAsia="en-AU"/>
              </w:rPr>
              <w:t xml:space="preserve">arwood, The Victorian Sentencing Advisory Council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color w:val="000000"/>
                <w:sz w:val="24"/>
                <w:lang w:val="en-AU" w:eastAsia="en-AU"/>
              </w:rPr>
            </w:pPr>
            <w:r>
              <w:rPr>
                <w:rFonts w:eastAsia="Times New Roman" w:cs="Times New Roman"/>
                <w:b/>
                <w:color w:val="000000"/>
                <w:sz w:val="24"/>
                <w:lang w:val="en-AU" w:eastAsia="en-AU"/>
              </w:rPr>
              <w:t>Research partners</w:t>
            </w:r>
          </w:p>
          <w:p w:rsidR="00C7221B" w:rsidRDefault="00EE6790">
            <w:pPr>
              <w:spacing w:after="0"/>
              <w:rPr>
                <w:rFonts w:eastAsia="Times New Roman" w:cs="Times New Roman"/>
                <w:sz w:val="24"/>
                <w:lang w:val="en-AU" w:eastAsia="en-AU"/>
              </w:rPr>
            </w:pPr>
            <w:r>
              <w:rPr>
                <w:rFonts w:eastAsia="Times New Roman" w:cs="Times New Roman"/>
                <w:sz w:val="24"/>
                <w:lang w:val="en-AU" w:eastAsia="en-AU"/>
              </w:rPr>
              <w:t xml:space="preserve">A national expert advisory group will be established. </w:t>
            </w:r>
          </w:p>
          <w:p w:rsidR="00C7221B" w:rsidRDefault="00C7221B">
            <w:pPr>
              <w:spacing w:after="0"/>
              <w:rPr>
                <w:rFonts w:eastAsia="Times New Roman" w:cs="Times New Roman"/>
                <w:color w:val="000000"/>
                <w:sz w:val="24"/>
                <w:lang w:val="en-AU" w:eastAsia="en-AU"/>
              </w:rPr>
            </w:pPr>
          </w:p>
        </w:tc>
      </w:tr>
    </w:tbl>
    <w:p w:rsidR="00C7221B" w:rsidRDefault="00C7221B">
      <w:pPr>
        <w:pStyle w:val="FootnoteText"/>
        <w:spacing w:before="160"/>
        <w:ind w:right="-74"/>
        <w:jc w:val="right"/>
        <w:rPr>
          <w:lang w:val="en-AU"/>
        </w:rPr>
      </w:pPr>
    </w:p>
    <w:p w:rsidR="00C7221B" w:rsidRDefault="00C7221B">
      <w:pPr>
        <w:tabs>
          <w:tab w:val="left" w:pos="8831"/>
        </w:tabs>
        <w:spacing w:after="80"/>
        <w:rPr>
          <w:rFonts w:cs="Arial"/>
          <w:b/>
          <w:color w:val="928F2B"/>
          <w:sz w:val="28"/>
          <w:szCs w:val="28"/>
          <w:lang w:val="en-AU"/>
        </w:rPr>
      </w:pPr>
    </w:p>
    <w:p w:rsidR="00C7221B" w:rsidRDefault="00C7221B">
      <w:pPr>
        <w:tabs>
          <w:tab w:val="left" w:pos="8831"/>
        </w:tabs>
        <w:spacing w:after="80"/>
        <w:rPr>
          <w:rFonts w:cs="Arial"/>
          <w:b/>
          <w:color w:val="928F2B"/>
          <w:sz w:val="28"/>
          <w:szCs w:val="28"/>
          <w:lang w:val="en-AU"/>
        </w:rPr>
        <w:sectPr w:rsidR="00C7221B">
          <w:footerReference w:type="default" r:id="rId15"/>
          <w:pgSz w:w="23814" w:h="16839" w:orient="landscape" w:code="8"/>
          <w:pgMar w:top="1276" w:right="1191" w:bottom="851" w:left="1191" w:header="709" w:footer="709" w:gutter="0"/>
          <w:cols w:space="708"/>
          <w:docGrid w:linePitch="360"/>
        </w:sectPr>
      </w:pPr>
    </w:p>
    <w:p w:rsidR="00C7221B" w:rsidRDefault="00EE6790">
      <w:pPr>
        <w:tabs>
          <w:tab w:val="left" w:pos="8831"/>
        </w:tabs>
        <w:spacing w:after="80"/>
        <w:rPr>
          <w:rFonts w:cs="Arial"/>
          <w:b/>
          <w:sz w:val="28"/>
          <w:szCs w:val="28"/>
          <w:lang w:val="en-AU"/>
        </w:rPr>
      </w:pPr>
      <w:r>
        <w:rPr>
          <w:rFonts w:cs="Arial"/>
          <w:b/>
          <w:color w:val="928F2B"/>
          <w:sz w:val="28"/>
          <w:szCs w:val="28"/>
          <w:lang w:val="en-AU"/>
        </w:rPr>
        <w:lastRenderedPageBreak/>
        <w:t xml:space="preserve">Strategic Research Theme 2 </w:t>
      </w:r>
      <w:r>
        <w:rPr>
          <w:rFonts w:cs="Arial"/>
          <w:b/>
          <w:sz w:val="28"/>
          <w:szCs w:val="28"/>
          <w:lang w:val="en-AU"/>
        </w:rPr>
        <w:t>Effectiveness of interventions</w:t>
      </w:r>
    </w:p>
    <w:tbl>
      <w:tblPr>
        <w:tblStyle w:val="TableGrid"/>
        <w:tblW w:w="2140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1842"/>
        <w:gridCol w:w="7797"/>
        <w:gridCol w:w="1559"/>
        <w:gridCol w:w="1559"/>
        <w:gridCol w:w="6520"/>
      </w:tblGrid>
      <w:tr w:rsidR="00C7221B">
        <w:trPr>
          <w:tblHeader/>
        </w:trPr>
        <w:tc>
          <w:tcPr>
            <w:tcW w:w="2127" w:type="dxa"/>
            <w:tcBorders>
              <w:top w:val="single" w:sz="4" w:space="0" w:color="auto"/>
              <w:bottom w:val="single" w:sz="8"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Research priority </w:t>
            </w:r>
          </w:p>
        </w:tc>
        <w:tc>
          <w:tcPr>
            <w:tcW w:w="1842"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Project title</w:t>
            </w:r>
          </w:p>
        </w:tc>
        <w:tc>
          <w:tcPr>
            <w:tcW w:w="7797"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Summary</w:t>
            </w:r>
          </w:p>
        </w:tc>
        <w:tc>
          <w:tcPr>
            <w:tcW w:w="1559"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Length and budget </w:t>
            </w:r>
          </w:p>
        </w:tc>
        <w:tc>
          <w:tcPr>
            <w:tcW w:w="1559"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Jurisdiction</w:t>
            </w:r>
          </w:p>
        </w:tc>
        <w:tc>
          <w:tcPr>
            <w:tcW w:w="6520"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Research Team</w:t>
            </w:r>
          </w:p>
        </w:tc>
      </w:tr>
      <w:tr w:rsidR="00C7221B">
        <w:trPr>
          <w:trHeight w:val="5168"/>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 xml:space="preserve">2.1 Defining and measuring effectiveness  </w:t>
            </w:r>
          </w:p>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br/>
              <w:t xml:space="preserve">&amp; </w:t>
            </w:r>
          </w:p>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br/>
              <w:t xml:space="preserve">2.2 Development of best practice in evaluating perpetrator interventions </w:t>
            </w:r>
          </w:p>
        </w:tc>
        <w:tc>
          <w:tcPr>
            <w:tcW w:w="1842" w:type="dxa"/>
            <w:tcBorders>
              <w:top w:val="single" w:sz="8" w:space="0" w:color="928F2B"/>
              <w:bottom w:val="single" w:sz="8" w:space="0" w:color="928F2B"/>
            </w:tcBorders>
            <w:shd w:val="clear" w:color="auto" w:fill="auto"/>
          </w:tcPr>
          <w:p w:rsidR="00C7221B" w:rsidRPr="00547232" w:rsidRDefault="00EE6790">
            <w:pPr>
              <w:spacing w:after="0"/>
              <w:rPr>
                <w:rFonts w:eastAsia="Times New Roman" w:cs="Times New Roman"/>
                <w:color w:val="000000"/>
                <w:sz w:val="24"/>
                <w:lang w:val="en-AU" w:eastAsia="en-AU"/>
              </w:rPr>
            </w:pPr>
            <w:r w:rsidRPr="00547232">
              <w:rPr>
                <w:rFonts w:eastAsia="Times New Roman" w:cs="Times New Roman"/>
                <w:color w:val="000000"/>
                <w:sz w:val="24"/>
                <w:lang w:val="en-AU" w:eastAsia="en-AU"/>
              </w:rPr>
              <w:t>Evaluation readiness, program quality and outcomes in Men's Behaviour Change Programs</w:t>
            </w:r>
            <w:r w:rsidRPr="00547232">
              <w:rPr>
                <w:rFonts w:eastAsia="Times New Roman" w:cs="Times New Roman"/>
                <w:color w:val="000000"/>
                <w:sz w:val="24"/>
                <w:lang w:val="en-AU" w:eastAsia="en-AU"/>
              </w:rPr>
              <w:br/>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This combined project aims to develop the foundational knowledge needed to build the evidence base for Men’s Behaviour Change Programs (MBCPs) through:</w:t>
            </w:r>
            <w:r>
              <w:rPr>
                <w:rFonts w:eastAsia="Times New Roman" w:cs="Times New Roman"/>
                <w:color w:val="000000"/>
                <w:sz w:val="23"/>
                <w:szCs w:val="23"/>
                <w:lang w:val="en-AU" w:eastAsia="en-AU"/>
              </w:rPr>
              <w:br/>
              <w:t>• the development of a program logic, identification of intermediate outcome tools and the development of practice guidelines, to support an informed approach to evaluation practice based on the application of empirical knowledge on behaviour change; and</w:t>
            </w:r>
            <w:r>
              <w:rPr>
                <w:rFonts w:eastAsia="Times New Roman" w:cs="Times New Roman"/>
                <w:color w:val="000000"/>
                <w:sz w:val="23"/>
                <w:szCs w:val="23"/>
                <w:lang w:val="en-AU" w:eastAsia="en-AU"/>
              </w:rPr>
              <w:br/>
              <w:t>• the development of a set of criteria to enable assessment of whether MBCPs have been designed, integrated and implemented in a manner consistent with its theoretical underpinnings as intended by providers and the integrated service system of which, they are a part.</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t>The research will:</w:t>
            </w:r>
          </w:p>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 xml:space="preserve">• Undertake a review of existing evidence on outcomes for mandated referrals, development of logic models and a systematic evaluation of psychometric assessment tools and qualitative methods to assess change.   Development of logic models will occur through consultation with Corrections (VIC, SA) and interviews with women, perpetrators, program managers and facilitators and other practitioners (e.g. child protection). Additional workshops with community based MBCPs will also be undertaken in Victoria and SA.  </w:t>
            </w:r>
          </w:p>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 Conduct a systematic review of existing literature including consideration of the current reviews into minimum practice standards and guidelines occurring in jurisdictions. Interviews and focus groups with Vic and SA Corrections and workshops with community based MBCP in Victoria and WA will be conducted to gain practice perspectives on the delivery of high integrity programs.  Where feasible, the practice perspectives on program integrity will be augmented by observation of a MBCP session delivery.   Findings from the qualitative component will be presented to the project reference group for feedback.</w:t>
            </w:r>
          </w:p>
          <w:p w:rsidR="00807B17" w:rsidRDefault="00807B17">
            <w:pPr>
              <w:spacing w:after="0"/>
              <w:rPr>
                <w:rFonts w:eastAsia="Times New Roman" w:cs="Times New Roman"/>
                <w:color w:val="000000"/>
                <w:sz w:val="23"/>
                <w:szCs w:val="23"/>
                <w:lang w:val="en-AU" w:eastAsia="en-AU"/>
              </w:rPr>
            </w:pPr>
          </w:p>
        </w:tc>
        <w:tc>
          <w:tcPr>
            <w:tcW w:w="1559" w:type="dxa"/>
            <w:tcBorders>
              <w:top w:val="single" w:sz="8" w:space="0" w:color="928F2B"/>
              <w:bottom w:val="single" w:sz="8" w:space="0" w:color="928F2B"/>
            </w:tcBorders>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1 year</w:t>
            </w:r>
          </w:p>
          <w:p w:rsidR="00C7221B" w:rsidRDefault="00C7221B">
            <w:pPr>
              <w:spacing w:after="0"/>
              <w:rPr>
                <w:rFonts w:eastAsia="Times New Roman" w:cs="Times New Roman"/>
                <w:color w:val="000000"/>
                <w:sz w:val="23"/>
                <w:szCs w:val="23"/>
                <w:lang w:val="en-AU" w:eastAsia="en-AU"/>
              </w:rPr>
            </w:pPr>
          </w:p>
          <w:p w:rsidR="00C7221B" w:rsidRDefault="00EE6790">
            <w:pPr>
              <w:spacing w:after="0"/>
              <w:rPr>
                <w:rFonts w:eastAsia="Times New Roman" w:cs="Times New Roman"/>
                <w:color w:val="000000"/>
                <w:sz w:val="23"/>
                <w:szCs w:val="23"/>
                <w:lang w:val="en-AU" w:eastAsia="en-AU"/>
              </w:rPr>
            </w:pPr>
            <w:r>
              <w:rPr>
                <w:rFonts w:eastAsia="Times New Roman" w:cs="Times New Roman"/>
                <w:bCs/>
                <w:color w:val="000000"/>
                <w:sz w:val="23"/>
                <w:szCs w:val="23"/>
                <w:lang w:val="en-AU" w:eastAsia="en-AU"/>
              </w:rPr>
              <w:t>$113,327</w:t>
            </w:r>
          </w:p>
        </w:tc>
        <w:tc>
          <w:tcPr>
            <w:tcW w:w="1559"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3"/>
                <w:szCs w:val="23"/>
                <w:lang w:val="en-AU" w:eastAsia="en-AU"/>
              </w:rPr>
            </w:pPr>
            <w:r>
              <w:rPr>
                <w:rFonts w:eastAsia="Times New Roman" w:cs="Times New Roman"/>
                <w:b/>
                <w:color w:val="000000"/>
                <w:sz w:val="23"/>
                <w:szCs w:val="23"/>
                <w:lang w:val="en-AU" w:eastAsia="en-AU"/>
              </w:rPr>
              <w:t>Lead:</w:t>
            </w:r>
            <w:r>
              <w:rPr>
                <w:rFonts w:eastAsia="Times New Roman" w:cs="Times New Roman"/>
                <w:color w:val="000000"/>
                <w:sz w:val="23"/>
                <w:szCs w:val="23"/>
                <w:lang w:val="en-AU" w:eastAsia="en-AU"/>
              </w:rPr>
              <w:t xml:space="preserve"> QLD</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color w:val="000000"/>
                <w:sz w:val="23"/>
                <w:szCs w:val="23"/>
                <w:lang w:val="en-AU" w:eastAsia="en-AU"/>
              </w:rPr>
              <w:t>Partners:</w:t>
            </w:r>
            <w:r w:rsidR="00954D70">
              <w:rPr>
                <w:rFonts w:eastAsia="Times New Roman" w:cs="Times New Roman"/>
                <w:color w:val="000000"/>
                <w:sz w:val="23"/>
                <w:szCs w:val="23"/>
                <w:lang w:val="en-AU" w:eastAsia="en-AU"/>
              </w:rPr>
              <w:br/>
              <w:t>1. WA</w:t>
            </w:r>
            <w:r w:rsidR="00954D70">
              <w:rPr>
                <w:rFonts w:eastAsia="Times New Roman" w:cs="Times New Roman"/>
                <w:color w:val="000000"/>
                <w:sz w:val="23"/>
                <w:szCs w:val="23"/>
                <w:lang w:val="en-AU" w:eastAsia="en-AU"/>
              </w:rPr>
              <w:br/>
              <w:t>2. VIC</w:t>
            </w:r>
            <w:r w:rsidR="00954D70">
              <w:rPr>
                <w:rFonts w:eastAsia="Times New Roman" w:cs="Times New Roman"/>
                <w:color w:val="000000"/>
                <w:sz w:val="23"/>
                <w:szCs w:val="23"/>
                <w:lang w:val="en-AU" w:eastAsia="en-AU"/>
              </w:rPr>
              <w:br/>
              <w:t>3</w:t>
            </w:r>
            <w:r>
              <w:rPr>
                <w:rFonts w:eastAsia="Times New Roman" w:cs="Times New Roman"/>
                <w:color w:val="000000"/>
                <w:sz w:val="23"/>
                <w:szCs w:val="23"/>
                <w:lang w:val="en-AU" w:eastAsia="en-AU"/>
              </w:rPr>
              <w:t>. SA</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color w:val="000000"/>
                <w:sz w:val="23"/>
                <w:szCs w:val="23"/>
                <w:lang w:val="en-AU" w:eastAsia="en-AU"/>
              </w:rPr>
              <w:t>Sites:</w:t>
            </w:r>
            <w:r>
              <w:rPr>
                <w:rFonts w:eastAsia="Times New Roman" w:cs="Times New Roman"/>
                <w:color w:val="000000"/>
                <w:sz w:val="23"/>
                <w:szCs w:val="23"/>
                <w:lang w:val="en-AU" w:eastAsia="en-AU"/>
              </w:rPr>
              <w:br/>
              <w:t>1. SA</w:t>
            </w:r>
            <w:r>
              <w:rPr>
                <w:rFonts w:eastAsia="Times New Roman" w:cs="Times New Roman"/>
                <w:color w:val="000000"/>
                <w:sz w:val="23"/>
                <w:szCs w:val="23"/>
                <w:lang w:val="en-AU" w:eastAsia="en-AU"/>
              </w:rPr>
              <w:br/>
              <w:t>2. VIC</w:t>
            </w:r>
          </w:p>
        </w:tc>
        <w:tc>
          <w:tcPr>
            <w:tcW w:w="6520"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b/>
                <w:bCs/>
                <w:color w:val="000000"/>
                <w:sz w:val="23"/>
                <w:szCs w:val="23"/>
                <w:lang w:val="en-AU" w:eastAsia="en-AU"/>
              </w:rPr>
              <w:t>Lead: Professor Andrew Day, James Cook University</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bCs/>
                <w:color w:val="000000"/>
                <w:sz w:val="23"/>
                <w:szCs w:val="23"/>
                <w:lang w:val="en-AU" w:eastAsia="en-AU"/>
              </w:rPr>
              <w:t>Research expertise</w:t>
            </w:r>
            <w:r>
              <w:rPr>
                <w:rFonts w:eastAsia="Times New Roman" w:cs="Times New Roman"/>
                <w:color w:val="000000"/>
                <w:sz w:val="23"/>
                <w:szCs w:val="23"/>
                <w:lang w:val="en-AU" w:eastAsia="en-AU"/>
              </w:rPr>
              <w:br/>
              <w:t xml:space="preserve">1. Prof Donna Chung, Curtin University of Technology </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bCs/>
                <w:color w:val="000000"/>
                <w:sz w:val="23"/>
                <w:szCs w:val="23"/>
                <w:lang w:val="en-AU" w:eastAsia="en-AU"/>
              </w:rPr>
              <w:t>Practitioner expertise</w:t>
            </w:r>
            <w:r>
              <w:rPr>
                <w:rFonts w:eastAsia="Times New Roman" w:cs="Times New Roman"/>
                <w:b/>
                <w:bCs/>
                <w:color w:val="000000"/>
                <w:sz w:val="23"/>
                <w:szCs w:val="23"/>
                <w:lang w:val="en-AU" w:eastAsia="en-AU"/>
              </w:rPr>
              <w:br/>
            </w:r>
            <w:r>
              <w:rPr>
                <w:rFonts w:eastAsia="Times New Roman" w:cs="Times New Roman"/>
                <w:bCs/>
                <w:color w:val="000000"/>
                <w:sz w:val="23"/>
                <w:szCs w:val="23"/>
                <w:lang w:val="en-AU" w:eastAsia="en-AU"/>
              </w:rPr>
              <w:t>1</w:t>
            </w:r>
            <w:r>
              <w:rPr>
                <w:rFonts w:eastAsia="Times New Roman" w:cs="Times New Roman"/>
                <w:color w:val="000000"/>
                <w:sz w:val="23"/>
                <w:szCs w:val="23"/>
                <w:lang w:val="en-AU" w:eastAsia="en-AU"/>
              </w:rPr>
              <w:t>. Rodney Vlais</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bCs/>
                <w:color w:val="000000"/>
                <w:sz w:val="23"/>
                <w:szCs w:val="23"/>
                <w:lang w:val="en-AU" w:eastAsia="en-AU"/>
              </w:rPr>
              <w:t xml:space="preserve">Policy expertise </w:t>
            </w:r>
            <w:r>
              <w:rPr>
                <w:rFonts w:eastAsia="Times New Roman" w:cs="Times New Roman"/>
                <w:color w:val="000000"/>
                <w:sz w:val="23"/>
                <w:szCs w:val="23"/>
                <w:lang w:val="en-AU" w:eastAsia="en-AU"/>
              </w:rPr>
              <w:br/>
              <w:t xml:space="preserve">1. Dr Henry Pharo, Department for Correctional Services, SA </w:t>
            </w:r>
            <w:r>
              <w:rPr>
                <w:rFonts w:eastAsia="Times New Roman" w:cs="Times New Roman"/>
                <w:color w:val="000000"/>
                <w:sz w:val="23"/>
                <w:szCs w:val="23"/>
                <w:lang w:val="en-AU" w:eastAsia="en-AU"/>
              </w:rPr>
              <w:br/>
              <w:t xml:space="preserve">2. Dr Shaymaa Elkadi, Corrections Victoria </w:t>
            </w:r>
          </w:p>
          <w:p w:rsidR="00C7221B" w:rsidRDefault="00C7221B">
            <w:pPr>
              <w:spacing w:after="0"/>
              <w:rPr>
                <w:rFonts w:eastAsia="Times New Roman" w:cs="Times New Roman"/>
                <w:color w:val="000000"/>
                <w:sz w:val="23"/>
                <w:szCs w:val="23"/>
                <w:lang w:val="en-AU" w:eastAsia="en-AU"/>
              </w:rPr>
            </w:pPr>
          </w:p>
          <w:p w:rsidR="00C7221B" w:rsidRDefault="00EE6790">
            <w:pPr>
              <w:spacing w:after="0"/>
              <w:rPr>
                <w:rFonts w:eastAsia="Times New Roman" w:cs="Times New Roman"/>
                <w:b/>
                <w:color w:val="000000"/>
                <w:sz w:val="23"/>
                <w:szCs w:val="23"/>
                <w:lang w:val="en-AU" w:eastAsia="en-AU"/>
              </w:rPr>
            </w:pPr>
            <w:r>
              <w:rPr>
                <w:rFonts w:eastAsia="Times New Roman" w:cs="Times New Roman"/>
                <w:b/>
                <w:color w:val="000000"/>
                <w:sz w:val="23"/>
                <w:szCs w:val="23"/>
                <w:lang w:val="en-AU" w:eastAsia="en-AU"/>
              </w:rPr>
              <w:t>Project partners</w:t>
            </w:r>
          </w:p>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A project reference group will be convened, with members including South Australia Central Domestic Violence Service, the Office for Women, and the Australian Children's Safety Alliance</w:t>
            </w:r>
          </w:p>
        </w:tc>
      </w:tr>
      <w:tr w:rsidR="00C7221B">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 xml:space="preserve">2.1 Defining and measuring effectiveness </w:t>
            </w:r>
          </w:p>
        </w:tc>
        <w:tc>
          <w:tcPr>
            <w:tcW w:w="1842"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Defining quality of life indicators for measuring perpetrator intervention effectiveness</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This project focusses on the development of quality of life (QOL) indicators and associated definitions to measure effectiveness of DFV MBCPs, including QOL indicators for women and children who have experienced domestic and family violence. The research will be completed in Victoria, South Australia and Queensland.</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t>It will include a literature review to identify QOL measures for DFV interventions that have been developed with the direct involvement of clients.  Semi-structured interviews with women (80) and men (20) (a minimum of 25 women and 5 men from any one state) which will include the administration of a QOL instrument across the domain areas of wellbeing related to physical, psychological, social and environmental factors.  Engagement of DFV partner services will also occur through the project advisory group and practitioner workshop to support development of evaluation mechanisms inclusive of QOL indicators.</w:t>
            </w:r>
          </w:p>
        </w:tc>
        <w:tc>
          <w:tcPr>
            <w:tcW w:w="1559" w:type="dxa"/>
            <w:tcBorders>
              <w:top w:val="single" w:sz="8" w:space="0" w:color="928F2B"/>
              <w:bottom w:val="single" w:sz="8" w:space="0" w:color="928F2B"/>
            </w:tcBorders>
          </w:tcPr>
          <w:p w:rsidR="00C7221B" w:rsidRDefault="00EE6790">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1 year</w:t>
            </w:r>
          </w:p>
          <w:p w:rsidR="00C7221B" w:rsidRDefault="00C7221B">
            <w:pPr>
              <w:spacing w:after="0"/>
              <w:rPr>
                <w:rFonts w:eastAsia="Times New Roman" w:cs="Times New Roman"/>
                <w:color w:val="000000"/>
                <w:sz w:val="23"/>
                <w:szCs w:val="23"/>
                <w:lang w:val="en-AU" w:eastAsia="en-AU"/>
              </w:rPr>
            </w:pPr>
          </w:p>
          <w:p w:rsidR="00C7221B" w:rsidRDefault="00EE6790">
            <w:pPr>
              <w:spacing w:after="0"/>
              <w:rPr>
                <w:rFonts w:eastAsia="Times New Roman" w:cs="Times New Roman"/>
                <w:color w:val="000000"/>
                <w:sz w:val="23"/>
                <w:szCs w:val="23"/>
                <w:lang w:val="en-AU" w:eastAsia="en-AU"/>
              </w:rPr>
            </w:pPr>
            <w:r>
              <w:rPr>
                <w:rFonts w:eastAsia="Times New Roman" w:cs="Times New Roman"/>
                <w:bCs/>
                <w:color w:val="000000"/>
                <w:sz w:val="23"/>
                <w:szCs w:val="23"/>
                <w:lang w:val="en-AU" w:eastAsia="en-AU"/>
              </w:rPr>
              <w:t>$94,085</w:t>
            </w:r>
          </w:p>
        </w:tc>
        <w:tc>
          <w:tcPr>
            <w:tcW w:w="1559"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b/>
                <w:color w:val="000000"/>
                <w:sz w:val="23"/>
                <w:szCs w:val="23"/>
                <w:lang w:val="en-AU" w:eastAsia="en-AU"/>
              </w:rPr>
              <w:t>Lead:</w:t>
            </w:r>
            <w:r>
              <w:rPr>
                <w:rFonts w:eastAsia="Times New Roman" w:cs="Times New Roman"/>
                <w:color w:val="000000"/>
                <w:sz w:val="23"/>
                <w:szCs w:val="23"/>
                <w:lang w:val="en-AU" w:eastAsia="en-AU"/>
              </w:rPr>
              <w:t xml:space="preserve"> SA</w:t>
            </w:r>
            <w:r>
              <w:rPr>
                <w:rFonts w:eastAsia="Times New Roman" w:cs="Times New Roman"/>
                <w:color w:val="000000"/>
                <w:sz w:val="23"/>
                <w:szCs w:val="23"/>
                <w:lang w:val="en-AU" w:eastAsia="en-AU"/>
              </w:rPr>
              <w:br/>
            </w:r>
          </w:p>
          <w:p w:rsidR="00C7221B" w:rsidRDefault="00EE6790">
            <w:pPr>
              <w:spacing w:after="0"/>
              <w:rPr>
                <w:rFonts w:eastAsia="Times New Roman" w:cs="Times New Roman"/>
                <w:b/>
                <w:bCs/>
                <w:color w:val="000000"/>
                <w:sz w:val="23"/>
                <w:szCs w:val="23"/>
                <w:lang w:val="en-AU" w:eastAsia="en-AU"/>
              </w:rPr>
            </w:pPr>
            <w:r>
              <w:rPr>
                <w:rFonts w:eastAsia="Times New Roman" w:cs="Times New Roman"/>
                <w:b/>
                <w:color w:val="000000"/>
                <w:sz w:val="23"/>
                <w:szCs w:val="23"/>
                <w:lang w:val="en-AU" w:eastAsia="en-AU"/>
              </w:rPr>
              <w:t>Partners:</w:t>
            </w:r>
            <w:r>
              <w:rPr>
                <w:rFonts w:eastAsia="Times New Roman" w:cs="Times New Roman"/>
                <w:color w:val="000000"/>
                <w:sz w:val="23"/>
                <w:szCs w:val="23"/>
                <w:lang w:val="en-AU" w:eastAsia="en-AU"/>
              </w:rPr>
              <w:t xml:space="preserve"> SA</w:t>
            </w:r>
            <w:r>
              <w:rPr>
                <w:rFonts w:eastAsia="Times New Roman" w:cs="Times New Roman"/>
                <w:color w:val="000000"/>
                <w:sz w:val="23"/>
                <w:szCs w:val="23"/>
                <w:lang w:val="en-AU" w:eastAsia="en-AU"/>
              </w:rPr>
              <w:br/>
            </w:r>
            <w:r>
              <w:rPr>
                <w:rFonts w:eastAsia="Times New Roman" w:cs="Times New Roman"/>
                <w:color w:val="000000"/>
                <w:sz w:val="23"/>
                <w:szCs w:val="23"/>
                <w:lang w:val="en-AU" w:eastAsia="en-AU"/>
              </w:rPr>
              <w:br/>
            </w:r>
            <w:r>
              <w:rPr>
                <w:rFonts w:eastAsia="Times New Roman" w:cs="Times New Roman"/>
                <w:b/>
                <w:color w:val="000000"/>
                <w:sz w:val="23"/>
                <w:szCs w:val="23"/>
                <w:lang w:val="en-AU" w:eastAsia="en-AU"/>
              </w:rPr>
              <w:t>Sites:</w:t>
            </w:r>
            <w:r>
              <w:rPr>
                <w:rFonts w:eastAsia="Times New Roman" w:cs="Times New Roman"/>
                <w:color w:val="000000"/>
                <w:sz w:val="23"/>
                <w:szCs w:val="23"/>
                <w:lang w:val="en-AU" w:eastAsia="en-AU"/>
              </w:rPr>
              <w:br/>
              <w:t>1. SA</w:t>
            </w:r>
            <w:r>
              <w:rPr>
                <w:rFonts w:eastAsia="Times New Roman" w:cs="Times New Roman"/>
                <w:color w:val="000000"/>
                <w:sz w:val="23"/>
                <w:szCs w:val="23"/>
                <w:lang w:val="en-AU" w:eastAsia="en-AU"/>
              </w:rPr>
              <w:br/>
              <w:t>2. VIC</w:t>
            </w:r>
            <w:r>
              <w:rPr>
                <w:rFonts w:eastAsia="Times New Roman" w:cs="Times New Roman"/>
                <w:color w:val="000000"/>
                <w:sz w:val="23"/>
                <w:szCs w:val="23"/>
                <w:lang w:val="en-AU" w:eastAsia="en-AU"/>
              </w:rPr>
              <w:br/>
              <w:t>3. QLD</w:t>
            </w:r>
          </w:p>
        </w:tc>
        <w:tc>
          <w:tcPr>
            <w:tcW w:w="6520"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3"/>
                <w:szCs w:val="23"/>
                <w:lang w:val="en-AU" w:eastAsia="en-AU"/>
              </w:rPr>
            </w:pPr>
            <w:r>
              <w:rPr>
                <w:rFonts w:eastAsia="Times New Roman" w:cs="Times New Roman"/>
                <w:b/>
                <w:bCs/>
                <w:color w:val="000000"/>
                <w:sz w:val="23"/>
                <w:szCs w:val="23"/>
                <w:lang w:val="en-AU" w:eastAsia="en-AU"/>
              </w:rPr>
              <w:t>Lead: Dr Helen McLaren, Flinders University</w:t>
            </w:r>
            <w:r>
              <w:rPr>
                <w:rFonts w:eastAsia="Times New Roman" w:cs="Times New Roman"/>
                <w:b/>
                <w:bCs/>
                <w:color w:val="000000"/>
                <w:sz w:val="23"/>
                <w:szCs w:val="23"/>
                <w:lang w:val="en-AU" w:eastAsia="en-AU"/>
              </w:rPr>
              <w:br/>
            </w:r>
            <w:r>
              <w:rPr>
                <w:rFonts w:eastAsia="Times New Roman" w:cs="Times New Roman"/>
                <w:b/>
                <w:bCs/>
                <w:color w:val="000000"/>
                <w:sz w:val="23"/>
                <w:szCs w:val="23"/>
                <w:lang w:val="en-AU" w:eastAsia="en-AU"/>
              </w:rPr>
              <w:br/>
              <w:t xml:space="preserve">Research expertise </w:t>
            </w:r>
            <w:r>
              <w:rPr>
                <w:rFonts w:eastAsia="Times New Roman" w:cs="Times New Roman"/>
                <w:b/>
                <w:bCs/>
                <w:color w:val="000000"/>
                <w:sz w:val="23"/>
                <w:szCs w:val="23"/>
                <w:lang w:val="en-AU" w:eastAsia="en-AU"/>
              </w:rPr>
              <w:br/>
            </w:r>
            <w:r>
              <w:rPr>
                <w:rFonts w:eastAsia="Times New Roman" w:cs="Times New Roman"/>
                <w:color w:val="000000"/>
                <w:sz w:val="23"/>
                <w:szCs w:val="23"/>
                <w:lang w:val="en-AU" w:eastAsia="en-AU"/>
              </w:rPr>
              <w:t xml:space="preserve">1. Dr Lana Zannettino, Flinders University </w:t>
            </w:r>
            <w:r>
              <w:rPr>
                <w:rFonts w:eastAsia="Times New Roman" w:cs="Times New Roman"/>
                <w:color w:val="000000"/>
                <w:sz w:val="23"/>
                <w:szCs w:val="23"/>
                <w:lang w:val="en-AU" w:eastAsia="en-AU"/>
              </w:rPr>
              <w:br/>
              <w:t xml:space="preserve">2. Dr Jane Fischer, Flinders University </w:t>
            </w:r>
          </w:p>
          <w:p w:rsidR="00C7221B" w:rsidRDefault="00C7221B">
            <w:pPr>
              <w:spacing w:after="0"/>
              <w:rPr>
                <w:rFonts w:eastAsia="Times New Roman" w:cs="Times New Roman"/>
                <w:color w:val="000000"/>
                <w:sz w:val="23"/>
                <w:szCs w:val="23"/>
                <w:lang w:val="en-AU" w:eastAsia="en-AU"/>
              </w:rPr>
            </w:pPr>
          </w:p>
          <w:p w:rsidR="00C7221B" w:rsidRDefault="00EE6790">
            <w:pPr>
              <w:spacing w:after="0"/>
              <w:rPr>
                <w:rFonts w:eastAsia="Times New Roman" w:cs="Times New Roman"/>
                <w:b/>
                <w:bCs/>
                <w:color w:val="000000"/>
                <w:sz w:val="23"/>
                <w:szCs w:val="23"/>
                <w:lang w:val="en-AU" w:eastAsia="en-AU"/>
              </w:rPr>
            </w:pPr>
            <w:r>
              <w:rPr>
                <w:rFonts w:eastAsia="Times New Roman" w:cs="Times New Roman"/>
                <w:b/>
                <w:color w:val="000000"/>
                <w:sz w:val="23"/>
                <w:szCs w:val="23"/>
                <w:lang w:val="en-AU" w:eastAsia="en-AU"/>
              </w:rPr>
              <w:t>Research partners</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t>Brisbane Domestic Violence Service, Micah Projects Inc., Brisbane, Queensland</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t>Carinity Talera, Carinity Baptist Community Services, Brisbane, Queensland</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t>Kornar Winmil Yunti Aboriginal Corporation, Adelaide, South Australia</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lastRenderedPageBreak/>
              <w:t>No To Violence Men’s Referral Service, Male Family Violence Prevention Association, Melbourne, Victoria</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t>SANDBAG Community Centres and Services, Brisbane, Queensland</w:t>
            </w:r>
          </w:p>
          <w:p w:rsidR="00C7221B" w:rsidRDefault="00EE6790">
            <w:pPr>
              <w:pStyle w:val="Itemindent"/>
              <w:numPr>
                <w:ilvl w:val="0"/>
                <w:numId w:val="41"/>
              </w:numPr>
              <w:spacing w:before="0" w:after="0" w:line="240" w:lineRule="auto"/>
              <w:ind w:left="176" w:hanging="176"/>
              <w:rPr>
                <w:rFonts w:ascii="Minion Pro" w:hAnsi="Minion Pro"/>
                <w:color w:val="000000"/>
                <w:sz w:val="23"/>
                <w:szCs w:val="23"/>
              </w:rPr>
            </w:pPr>
            <w:r>
              <w:rPr>
                <w:rFonts w:ascii="Minion Pro" w:hAnsi="Minion Pro"/>
                <w:color w:val="000000"/>
                <w:sz w:val="23"/>
                <w:szCs w:val="23"/>
              </w:rPr>
              <w:t>Women’s Liberation Halfway House Domestic Violence Service, Melbourne, Victoria</w:t>
            </w:r>
          </w:p>
          <w:p w:rsidR="00C7221B" w:rsidRDefault="00EE6790">
            <w:pPr>
              <w:pStyle w:val="Itemindent"/>
              <w:numPr>
                <w:ilvl w:val="0"/>
                <w:numId w:val="41"/>
              </w:numPr>
              <w:spacing w:before="0" w:after="0" w:line="240" w:lineRule="auto"/>
              <w:ind w:left="176" w:hanging="176"/>
              <w:rPr>
                <w:rFonts w:ascii="Times New Roman" w:hAnsi="Times New Roman"/>
                <w:sz w:val="22"/>
                <w:szCs w:val="22"/>
              </w:rPr>
            </w:pPr>
            <w:r>
              <w:rPr>
                <w:rFonts w:ascii="Minion Pro" w:hAnsi="Minion Pro"/>
                <w:color w:val="000000"/>
                <w:sz w:val="23"/>
                <w:szCs w:val="23"/>
              </w:rPr>
              <w:t>Women’s Safety Services SA, Adelaide, South Australia.</w:t>
            </w:r>
          </w:p>
        </w:tc>
      </w:tr>
      <w:tr w:rsidR="009B06FE">
        <w:tc>
          <w:tcPr>
            <w:tcW w:w="2127" w:type="dxa"/>
            <w:tcBorders>
              <w:top w:val="single" w:sz="8" w:space="0" w:color="928F2B"/>
              <w:bottom w:val="single" w:sz="8" w:space="0" w:color="928F2B"/>
              <w:tl2br w:val="nil"/>
            </w:tcBorders>
            <w:shd w:val="clear" w:color="auto" w:fill="auto"/>
          </w:tcPr>
          <w:p w:rsidR="009B06FE" w:rsidRDefault="009B06FE">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lastRenderedPageBreak/>
              <w:t xml:space="preserve">2.3 </w:t>
            </w:r>
            <w:r w:rsidRPr="009B06FE">
              <w:rPr>
                <w:rFonts w:eastAsia="Times New Roman" w:cs="Times New Roman"/>
                <w:color w:val="000000"/>
                <w:sz w:val="23"/>
                <w:szCs w:val="23"/>
                <w:lang w:val="en-AU" w:eastAsia="en-AU"/>
              </w:rPr>
              <w:t>Evaluation of Specific Interventions</w:t>
            </w:r>
          </w:p>
        </w:tc>
        <w:tc>
          <w:tcPr>
            <w:tcW w:w="1842" w:type="dxa"/>
            <w:tcBorders>
              <w:top w:val="single" w:sz="8" w:space="0" w:color="928F2B"/>
              <w:bottom w:val="single" w:sz="8" w:space="0" w:color="928F2B"/>
            </w:tcBorders>
            <w:shd w:val="clear" w:color="auto" w:fill="auto"/>
          </w:tcPr>
          <w:p w:rsidR="009B06FE" w:rsidRDefault="009B06FE">
            <w:pPr>
              <w:spacing w:after="0"/>
              <w:rPr>
                <w:rFonts w:eastAsia="Times New Roman" w:cs="Times New Roman"/>
                <w:color w:val="000000"/>
                <w:sz w:val="23"/>
                <w:szCs w:val="23"/>
                <w:lang w:val="en-AU" w:eastAsia="en-AU"/>
              </w:rPr>
            </w:pPr>
            <w:r w:rsidRPr="009B06FE">
              <w:rPr>
                <w:rFonts w:eastAsia="Times New Roman" w:cs="Times New Roman"/>
                <w:color w:val="000000"/>
                <w:sz w:val="23"/>
                <w:szCs w:val="23"/>
                <w:lang w:val="en-AU" w:eastAsia="en-AU"/>
              </w:rPr>
              <w:t>Engaging men: In</w:t>
            </w:r>
            <w:r w:rsidR="00F2207B">
              <w:rPr>
                <w:rFonts w:eastAsia="Times New Roman" w:cs="Times New Roman"/>
                <w:color w:val="000000"/>
                <w:sz w:val="23"/>
                <w:szCs w:val="23"/>
                <w:lang w:val="en-AU" w:eastAsia="en-AU"/>
              </w:rPr>
              <w:t>vitational-narrative approaches</w:t>
            </w:r>
          </w:p>
          <w:p w:rsidR="00F2207B" w:rsidRDefault="00F2207B">
            <w:pPr>
              <w:spacing w:after="0"/>
              <w:rPr>
                <w:rFonts w:eastAsia="Times New Roman" w:cs="Times New Roman"/>
                <w:color w:val="000000"/>
                <w:sz w:val="23"/>
                <w:szCs w:val="23"/>
                <w:lang w:val="en-AU" w:eastAsia="en-AU"/>
              </w:rPr>
            </w:pPr>
          </w:p>
          <w:p w:rsidR="00F2207B" w:rsidRDefault="00F2207B">
            <w:pPr>
              <w:spacing w:after="0"/>
              <w:rPr>
                <w:rFonts w:eastAsia="Times New Roman" w:cs="Times New Roman"/>
                <w:color w:val="000000"/>
                <w:sz w:val="23"/>
                <w:szCs w:val="23"/>
                <w:lang w:val="en-AU" w:eastAsia="en-AU"/>
              </w:rPr>
            </w:pPr>
          </w:p>
        </w:tc>
        <w:tc>
          <w:tcPr>
            <w:tcW w:w="7797" w:type="dxa"/>
            <w:tcBorders>
              <w:top w:val="single" w:sz="8" w:space="0" w:color="928F2B"/>
              <w:bottom w:val="single" w:sz="8" w:space="0" w:color="928F2B"/>
            </w:tcBorders>
          </w:tcPr>
          <w:p w:rsidR="009B06FE" w:rsidRPr="009B06FE" w:rsidRDefault="009B06FE" w:rsidP="009B06FE">
            <w:pPr>
              <w:spacing w:after="0"/>
              <w:rPr>
                <w:rFonts w:eastAsia="Times New Roman" w:cs="Times New Roman"/>
                <w:color w:val="000000"/>
                <w:sz w:val="23"/>
                <w:szCs w:val="23"/>
                <w:lang w:val="en-AU" w:eastAsia="en-AU"/>
              </w:rPr>
            </w:pPr>
            <w:r w:rsidRPr="009B06FE">
              <w:rPr>
                <w:rFonts w:eastAsia="Times New Roman" w:cs="Times New Roman"/>
                <w:color w:val="000000"/>
                <w:sz w:val="23"/>
                <w:szCs w:val="23"/>
                <w:lang w:val="en-AU" w:eastAsia="en-AU"/>
              </w:rPr>
              <w:t xml:space="preserve">The project will conduct a developmental evaluation of narrative therapy approaches practised by Uniting Care and Relationships Australia NSW and document the processes of engagement when domestic violence is noticed in individual, couple and family counselling.  </w:t>
            </w:r>
          </w:p>
          <w:p w:rsidR="009B06FE" w:rsidRDefault="009B06FE" w:rsidP="009B06FE">
            <w:pPr>
              <w:spacing w:after="0"/>
              <w:rPr>
                <w:rFonts w:eastAsia="Times New Roman" w:cs="Times New Roman"/>
                <w:color w:val="000000"/>
                <w:sz w:val="23"/>
                <w:szCs w:val="23"/>
                <w:lang w:val="en-AU" w:eastAsia="en-AU"/>
              </w:rPr>
            </w:pPr>
          </w:p>
          <w:p w:rsidR="009B06FE" w:rsidRDefault="009B06FE" w:rsidP="009B06FE">
            <w:pPr>
              <w:spacing w:after="0"/>
              <w:rPr>
                <w:rFonts w:eastAsia="Times New Roman" w:cs="Times New Roman"/>
                <w:color w:val="000000"/>
                <w:sz w:val="23"/>
                <w:szCs w:val="23"/>
                <w:lang w:val="en-AU" w:eastAsia="en-AU"/>
              </w:rPr>
            </w:pPr>
            <w:r w:rsidRPr="009B06FE">
              <w:rPr>
                <w:rFonts w:eastAsia="Times New Roman" w:cs="Times New Roman"/>
                <w:color w:val="000000"/>
                <w:sz w:val="23"/>
                <w:szCs w:val="23"/>
                <w:lang w:val="en-AU" w:eastAsia="en-AU"/>
              </w:rPr>
              <w:t>This qualitative study will use: a literature review; organisation mapping documenting the scope, nature and complexity of the DFV work undertake</w:t>
            </w:r>
            <w:r>
              <w:rPr>
                <w:rFonts w:eastAsia="Times New Roman" w:cs="Times New Roman"/>
                <w:color w:val="000000"/>
                <w:sz w:val="23"/>
                <w:szCs w:val="23"/>
                <w:lang w:val="en-AU" w:eastAsia="en-AU"/>
              </w:rPr>
              <w:t xml:space="preserve">n by the partner agencies; and </w:t>
            </w:r>
            <w:r w:rsidRPr="009B06FE">
              <w:rPr>
                <w:rFonts w:eastAsia="Times New Roman" w:cs="Times New Roman"/>
                <w:color w:val="000000"/>
                <w:sz w:val="23"/>
                <w:szCs w:val="23"/>
                <w:lang w:val="en-AU" w:eastAsia="en-AU"/>
              </w:rPr>
              <w:t xml:space="preserve">interviews with men, partners/ex-partners and therapists (n=40 for each) to provide a holistic understanding of men’s experiences of engagement, behaviour and attitudinal change, accountability and responsibility.  </w:t>
            </w:r>
          </w:p>
        </w:tc>
        <w:tc>
          <w:tcPr>
            <w:tcW w:w="1559" w:type="dxa"/>
            <w:tcBorders>
              <w:top w:val="single" w:sz="8" w:space="0" w:color="928F2B"/>
              <w:bottom w:val="single" w:sz="8" w:space="0" w:color="928F2B"/>
            </w:tcBorders>
          </w:tcPr>
          <w:p w:rsidR="009B06FE" w:rsidRDefault="009B06FE">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1.5 years</w:t>
            </w:r>
          </w:p>
          <w:p w:rsidR="009B06FE" w:rsidRDefault="009B06FE">
            <w:pPr>
              <w:spacing w:after="0"/>
              <w:rPr>
                <w:rFonts w:eastAsia="Times New Roman" w:cs="Times New Roman"/>
                <w:color w:val="000000"/>
                <w:sz w:val="23"/>
                <w:szCs w:val="23"/>
                <w:lang w:val="en-AU" w:eastAsia="en-AU"/>
              </w:rPr>
            </w:pPr>
          </w:p>
          <w:p w:rsidR="009B06FE" w:rsidRDefault="009B06FE">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$93,080</w:t>
            </w:r>
          </w:p>
        </w:tc>
        <w:tc>
          <w:tcPr>
            <w:tcW w:w="1559" w:type="dxa"/>
            <w:tcBorders>
              <w:top w:val="single" w:sz="8" w:space="0" w:color="928F2B"/>
              <w:bottom w:val="single" w:sz="8" w:space="0" w:color="928F2B"/>
            </w:tcBorders>
            <w:shd w:val="clear" w:color="auto" w:fill="auto"/>
          </w:tcPr>
          <w:p w:rsidR="009B06FE" w:rsidRDefault="009B06FE">
            <w:pPr>
              <w:spacing w:after="0"/>
              <w:rPr>
                <w:rFonts w:eastAsia="Times New Roman" w:cs="Times New Roman"/>
                <w:color w:val="000000"/>
                <w:sz w:val="23"/>
                <w:szCs w:val="23"/>
                <w:lang w:val="en-AU" w:eastAsia="en-AU"/>
              </w:rPr>
            </w:pPr>
            <w:r>
              <w:rPr>
                <w:rFonts w:eastAsia="Times New Roman" w:cs="Times New Roman"/>
                <w:b/>
                <w:color w:val="000000"/>
                <w:sz w:val="23"/>
                <w:szCs w:val="23"/>
                <w:lang w:val="en-AU" w:eastAsia="en-AU"/>
              </w:rPr>
              <w:t xml:space="preserve">Lead: </w:t>
            </w:r>
            <w:r w:rsidRPr="009B06FE">
              <w:rPr>
                <w:rFonts w:eastAsia="Times New Roman" w:cs="Times New Roman"/>
                <w:color w:val="000000"/>
                <w:sz w:val="23"/>
                <w:szCs w:val="23"/>
                <w:lang w:val="en-AU" w:eastAsia="en-AU"/>
              </w:rPr>
              <w:t>SA</w:t>
            </w:r>
          </w:p>
          <w:p w:rsidR="00F2207B" w:rsidRDefault="00F2207B">
            <w:pPr>
              <w:spacing w:after="0"/>
              <w:rPr>
                <w:rFonts w:eastAsia="Times New Roman" w:cs="Times New Roman"/>
                <w:color w:val="000000"/>
                <w:sz w:val="23"/>
                <w:szCs w:val="23"/>
                <w:lang w:val="en-AU" w:eastAsia="en-AU"/>
              </w:rPr>
            </w:pPr>
          </w:p>
          <w:p w:rsidR="00F2207B" w:rsidRDefault="00F2207B">
            <w:pPr>
              <w:spacing w:after="0"/>
              <w:rPr>
                <w:rFonts w:eastAsia="Times New Roman" w:cs="Times New Roman"/>
                <w:color w:val="000000"/>
                <w:sz w:val="23"/>
                <w:szCs w:val="23"/>
                <w:lang w:val="en-AU" w:eastAsia="en-AU"/>
              </w:rPr>
            </w:pPr>
            <w:r w:rsidRPr="00F2207B">
              <w:rPr>
                <w:rFonts w:eastAsia="Times New Roman" w:cs="Times New Roman"/>
                <w:b/>
                <w:color w:val="000000"/>
                <w:sz w:val="23"/>
                <w:szCs w:val="23"/>
                <w:lang w:val="en-AU" w:eastAsia="en-AU"/>
              </w:rPr>
              <w:t>Partners:</w:t>
            </w:r>
            <w:r>
              <w:rPr>
                <w:rFonts w:eastAsia="Times New Roman" w:cs="Times New Roman"/>
                <w:color w:val="000000"/>
                <w:sz w:val="23"/>
                <w:szCs w:val="23"/>
                <w:lang w:val="en-AU" w:eastAsia="en-AU"/>
              </w:rPr>
              <w:t xml:space="preserve"> </w:t>
            </w:r>
          </w:p>
          <w:p w:rsidR="00F2207B" w:rsidRDefault="00F2207B">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1. SA</w:t>
            </w:r>
          </w:p>
          <w:p w:rsidR="00F2207B" w:rsidRDefault="00F2207B">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2. NSW</w:t>
            </w:r>
          </w:p>
          <w:p w:rsidR="00F2207B" w:rsidRDefault="00F2207B">
            <w:pPr>
              <w:spacing w:after="0"/>
              <w:rPr>
                <w:rFonts w:eastAsia="Times New Roman" w:cs="Times New Roman"/>
                <w:color w:val="000000"/>
                <w:sz w:val="23"/>
                <w:szCs w:val="23"/>
                <w:lang w:val="en-AU" w:eastAsia="en-AU"/>
              </w:rPr>
            </w:pPr>
          </w:p>
          <w:p w:rsidR="00F2207B" w:rsidRDefault="00F2207B">
            <w:pPr>
              <w:spacing w:after="0"/>
              <w:rPr>
                <w:rFonts w:eastAsia="Times New Roman" w:cs="Times New Roman"/>
                <w:color w:val="000000"/>
                <w:sz w:val="23"/>
                <w:szCs w:val="23"/>
                <w:lang w:val="en-AU" w:eastAsia="en-AU"/>
              </w:rPr>
            </w:pPr>
            <w:r w:rsidRPr="00F2207B">
              <w:rPr>
                <w:rFonts w:eastAsia="Times New Roman" w:cs="Times New Roman"/>
                <w:b/>
                <w:color w:val="000000"/>
                <w:sz w:val="23"/>
                <w:szCs w:val="23"/>
                <w:lang w:val="en-AU" w:eastAsia="en-AU"/>
              </w:rPr>
              <w:t>Sites:</w:t>
            </w:r>
            <w:r>
              <w:rPr>
                <w:rFonts w:eastAsia="Times New Roman" w:cs="Times New Roman"/>
                <w:color w:val="000000"/>
                <w:sz w:val="23"/>
                <w:szCs w:val="23"/>
                <w:lang w:val="en-AU" w:eastAsia="en-AU"/>
              </w:rPr>
              <w:t xml:space="preserve"> </w:t>
            </w:r>
          </w:p>
          <w:p w:rsidR="00F2207B" w:rsidRDefault="00F2207B">
            <w:pPr>
              <w:spacing w:after="0"/>
              <w:rPr>
                <w:rFonts w:eastAsia="Times New Roman" w:cs="Times New Roman"/>
                <w:color w:val="000000"/>
                <w:sz w:val="23"/>
                <w:szCs w:val="23"/>
                <w:lang w:val="en-AU" w:eastAsia="en-AU"/>
              </w:rPr>
            </w:pPr>
            <w:r>
              <w:rPr>
                <w:rFonts w:eastAsia="Times New Roman" w:cs="Times New Roman"/>
                <w:color w:val="000000"/>
                <w:sz w:val="23"/>
                <w:szCs w:val="23"/>
                <w:lang w:val="en-AU" w:eastAsia="en-AU"/>
              </w:rPr>
              <w:t>1. SA</w:t>
            </w:r>
          </w:p>
          <w:p w:rsidR="00F2207B" w:rsidRDefault="00F2207B">
            <w:pPr>
              <w:spacing w:after="0"/>
              <w:rPr>
                <w:rFonts w:eastAsia="Times New Roman" w:cs="Times New Roman"/>
                <w:b/>
                <w:color w:val="000000"/>
                <w:sz w:val="23"/>
                <w:szCs w:val="23"/>
                <w:lang w:val="en-AU" w:eastAsia="en-AU"/>
              </w:rPr>
            </w:pPr>
            <w:r>
              <w:rPr>
                <w:rFonts w:eastAsia="Times New Roman" w:cs="Times New Roman"/>
                <w:color w:val="000000"/>
                <w:sz w:val="23"/>
                <w:szCs w:val="23"/>
                <w:lang w:val="en-AU" w:eastAsia="en-AU"/>
              </w:rPr>
              <w:t>2. NSW</w:t>
            </w:r>
          </w:p>
        </w:tc>
        <w:tc>
          <w:tcPr>
            <w:tcW w:w="6520" w:type="dxa"/>
            <w:tcBorders>
              <w:top w:val="single" w:sz="8" w:space="0" w:color="928F2B"/>
              <w:bottom w:val="single" w:sz="8" w:space="0" w:color="928F2B"/>
            </w:tcBorders>
            <w:shd w:val="clear" w:color="auto" w:fill="auto"/>
          </w:tcPr>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
                <w:bCs/>
                <w:color w:val="000000"/>
                <w:sz w:val="23"/>
                <w:szCs w:val="23"/>
                <w:lang w:val="en-AU" w:eastAsia="en-AU"/>
              </w:rPr>
              <w:t>Lead:</w:t>
            </w:r>
            <w:r w:rsidRPr="00F2207B">
              <w:rPr>
                <w:rFonts w:eastAsia="Times New Roman" w:cs="Times New Roman"/>
                <w:bCs/>
                <w:color w:val="000000"/>
                <w:sz w:val="23"/>
                <w:szCs w:val="23"/>
                <w:lang w:val="en-AU" w:eastAsia="en-AU"/>
              </w:rPr>
              <w:t xml:space="preserve"> </w:t>
            </w:r>
            <w:r w:rsidRPr="00807B17">
              <w:rPr>
                <w:rFonts w:eastAsia="Times New Roman" w:cs="Times New Roman"/>
                <w:b/>
                <w:bCs/>
                <w:color w:val="000000"/>
                <w:sz w:val="23"/>
                <w:szCs w:val="23"/>
                <w:lang w:val="en-AU" w:eastAsia="en-AU"/>
              </w:rPr>
              <w:t>Professor Sarah Wendt, Flinders University</w:t>
            </w:r>
            <w:r w:rsidRPr="00F2207B">
              <w:rPr>
                <w:rFonts w:eastAsia="Times New Roman" w:cs="Times New Roman"/>
                <w:bCs/>
                <w:color w:val="000000"/>
                <w:sz w:val="23"/>
                <w:szCs w:val="23"/>
                <w:lang w:val="en-AU" w:eastAsia="en-AU"/>
              </w:rPr>
              <w:t xml:space="preserve"> </w:t>
            </w:r>
          </w:p>
          <w:p w:rsidR="00F2207B" w:rsidRPr="00F2207B" w:rsidRDefault="00F2207B" w:rsidP="00F2207B">
            <w:pPr>
              <w:spacing w:after="0"/>
              <w:rPr>
                <w:rFonts w:eastAsia="Times New Roman" w:cs="Times New Roman"/>
                <w:bCs/>
                <w:color w:val="000000"/>
                <w:sz w:val="23"/>
                <w:szCs w:val="23"/>
                <w:lang w:val="en-AU" w:eastAsia="en-AU"/>
              </w:rPr>
            </w:pPr>
          </w:p>
          <w:p w:rsidR="00F2207B" w:rsidRPr="00F2207B" w:rsidRDefault="00F2207B" w:rsidP="00F2207B">
            <w:pPr>
              <w:spacing w:after="0"/>
              <w:rPr>
                <w:rFonts w:eastAsia="Times New Roman" w:cs="Times New Roman"/>
                <w:b/>
                <w:bCs/>
                <w:color w:val="000000"/>
                <w:sz w:val="23"/>
                <w:szCs w:val="23"/>
                <w:lang w:val="en-AU" w:eastAsia="en-AU"/>
              </w:rPr>
            </w:pPr>
            <w:r w:rsidRPr="00F2207B">
              <w:rPr>
                <w:rFonts w:eastAsia="Times New Roman" w:cs="Times New Roman"/>
                <w:b/>
                <w:bCs/>
                <w:color w:val="000000"/>
                <w:sz w:val="23"/>
                <w:szCs w:val="23"/>
                <w:lang w:val="en-AU" w:eastAsia="en-AU"/>
              </w:rPr>
              <w:t>Research Expertise</w:t>
            </w:r>
          </w:p>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Cs/>
                <w:color w:val="000000"/>
                <w:sz w:val="23"/>
                <w:szCs w:val="23"/>
                <w:lang w:val="en-AU" w:eastAsia="en-AU"/>
              </w:rPr>
              <w:t xml:space="preserve">1. Dr Fiona Buchanan, University of South Australia. </w:t>
            </w:r>
          </w:p>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Cs/>
                <w:color w:val="000000"/>
                <w:sz w:val="23"/>
                <w:szCs w:val="23"/>
                <w:lang w:val="en-AU" w:eastAsia="en-AU"/>
              </w:rPr>
              <w:t xml:space="preserve">2. Dr Kate Seymour, Flinders University </w:t>
            </w:r>
          </w:p>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Cs/>
                <w:color w:val="000000"/>
                <w:sz w:val="23"/>
                <w:szCs w:val="23"/>
                <w:lang w:val="en-AU" w:eastAsia="en-AU"/>
              </w:rPr>
              <w:t xml:space="preserve">3. Dr Rebecca Gray, Relationships Australia NSW </w:t>
            </w:r>
          </w:p>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Cs/>
                <w:color w:val="000000"/>
                <w:sz w:val="23"/>
                <w:szCs w:val="23"/>
                <w:lang w:val="en-AU" w:eastAsia="en-AU"/>
              </w:rPr>
              <w:t>4. Dr Tim Broady Research Partner Relationships Australia NSW</w:t>
            </w:r>
          </w:p>
          <w:p w:rsidR="00F2207B" w:rsidRPr="00F2207B" w:rsidRDefault="00F2207B" w:rsidP="00F2207B">
            <w:pPr>
              <w:spacing w:after="0"/>
              <w:rPr>
                <w:rFonts w:eastAsia="Times New Roman" w:cs="Times New Roman"/>
                <w:bCs/>
                <w:color w:val="000000"/>
                <w:sz w:val="23"/>
                <w:szCs w:val="23"/>
                <w:lang w:val="en-AU" w:eastAsia="en-AU"/>
              </w:rPr>
            </w:pPr>
          </w:p>
          <w:p w:rsidR="00F2207B" w:rsidRPr="00F2207B" w:rsidRDefault="00F2207B" w:rsidP="00F2207B">
            <w:pPr>
              <w:spacing w:after="0"/>
              <w:rPr>
                <w:rFonts w:eastAsia="Times New Roman" w:cs="Times New Roman"/>
                <w:b/>
                <w:bCs/>
                <w:color w:val="000000"/>
                <w:sz w:val="23"/>
                <w:szCs w:val="23"/>
                <w:lang w:val="en-AU" w:eastAsia="en-AU"/>
              </w:rPr>
            </w:pPr>
            <w:r w:rsidRPr="00F2207B">
              <w:rPr>
                <w:rFonts w:eastAsia="Times New Roman" w:cs="Times New Roman"/>
                <w:b/>
                <w:bCs/>
                <w:color w:val="000000"/>
                <w:sz w:val="23"/>
                <w:szCs w:val="23"/>
                <w:lang w:val="en-AU" w:eastAsia="en-AU"/>
              </w:rPr>
              <w:t>Practice expertise</w:t>
            </w:r>
          </w:p>
          <w:p w:rsidR="00F2207B" w:rsidRPr="00F2207B" w:rsidRDefault="00F2207B" w:rsidP="00F2207B">
            <w:pPr>
              <w:spacing w:after="0"/>
              <w:rPr>
                <w:rFonts w:eastAsia="Times New Roman" w:cs="Times New Roman"/>
                <w:bCs/>
                <w:color w:val="000000"/>
                <w:sz w:val="23"/>
                <w:szCs w:val="23"/>
                <w:lang w:val="en-AU" w:eastAsia="en-AU"/>
              </w:rPr>
            </w:pPr>
            <w:r w:rsidRPr="00F2207B">
              <w:rPr>
                <w:rFonts w:eastAsia="Times New Roman" w:cs="Times New Roman"/>
                <w:bCs/>
                <w:color w:val="000000"/>
                <w:sz w:val="23"/>
                <w:szCs w:val="23"/>
                <w:lang w:val="en-AU" w:eastAsia="en-AU"/>
              </w:rPr>
              <w:t xml:space="preserve">1. Mr Chris Dolman Research Partner Uniting Communities </w:t>
            </w:r>
          </w:p>
          <w:p w:rsidR="009B06FE" w:rsidRDefault="00F2207B" w:rsidP="00F2207B">
            <w:pPr>
              <w:spacing w:after="0"/>
              <w:rPr>
                <w:rFonts w:eastAsia="Times New Roman" w:cs="Times New Roman"/>
                <w:b/>
                <w:bCs/>
                <w:color w:val="000000"/>
                <w:sz w:val="23"/>
                <w:szCs w:val="23"/>
                <w:lang w:val="en-AU" w:eastAsia="en-AU"/>
              </w:rPr>
            </w:pPr>
            <w:r w:rsidRPr="00F2207B">
              <w:rPr>
                <w:rFonts w:eastAsia="Times New Roman" w:cs="Times New Roman"/>
                <w:bCs/>
                <w:color w:val="000000"/>
                <w:sz w:val="23"/>
                <w:szCs w:val="23"/>
                <w:lang w:val="en-AU" w:eastAsia="en-AU"/>
              </w:rPr>
              <w:t>2. Mr Daniel Moss, Uniting Communities</w:t>
            </w:r>
          </w:p>
        </w:tc>
      </w:tr>
      <w:tr w:rsidR="0014465C" w:rsidRPr="0014465C">
        <w:tc>
          <w:tcPr>
            <w:tcW w:w="2127" w:type="dxa"/>
            <w:tcBorders>
              <w:top w:val="single" w:sz="8" w:space="0" w:color="928F2B"/>
              <w:bottom w:val="single" w:sz="8" w:space="0" w:color="928F2B"/>
              <w:tl2br w:val="nil"/>
            </w:tcBorders>
            <w:shd w:val="clear" w:color="auto" w:fill="auto"/>
          </w:tcPr>
          <w:p w:rsidR="00F2207B" w:rsidRPr="0014465C" w:rsidRDefault="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2.4 Effectively Engaging and Retaining Perpetrators in Interventions</w:t>
            </w:r>
          </w:p>
        </w:tc>
        <w:tc>
          <w:tcPr>
            <w:tcW w:w="1842" w:type="dxa"/>
            <w:tcBorders>
              <w:top w:val="single" w:sz="8" w:space="0" w:color="928F2B"/>
              <w:bottom w:val="single" w:sz="8" w:space="0" w:color="928F2B"/>
            </w:tcBorders>
            <w:shd w:val="clear" w:color="auto" w:fill="auto"/>
          </w:tcPr>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Exploring the client-worker relationship in Men's Behaviour</w:t>
            </w:r>
          </w:p>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Change Programs</w:t>
            </w:r>
          </w:p>
        </w:tc>
        <w:tc>
          <w:tcPr>
            <w:tcW w:w="7797" w:type="dxa"/>
            <w:tcBorders>
              <w:top w:val="single" w:sz="8" w:space="0" w:color="928F2B"/>
              <w:bottom w:val="single" w:sz="8" w:space="0" w:color="928F2B"/>
            </w:tcBorders>
          </w:tcPr>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 xml:space="preserve">The project will explore the perceptions of multiple stakeholders about how the client/ worker relationship influences each man’s change in attitude and behaviour and retention in programs.  </w:t>
            </w:r>
          </w:p>
          <w:p w:rsidR="00F2207B" w:rsidRPr="0014465C" w:rsidRDefault="00F2207B" w:rsidP="00F2207B">
            <w:pPr>
              <w:spacing w:after="0"/>
              <w:rPr>
                <w:rFonts w:eastAsia="Times New Roman" w:cs="Times New Roman"/>
                <w:color w:val="000000" w:themeColor="text1"/>
                <w:sz w:val="23"/>
                <w:szCs w:val="23"/>
                <w:lang w:val="en-AU" w:eastAsia="en-AU"/>
              </w:rPr>
            </w:pPr>
          </w:p>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This qualitative study will utilise case study research techniques through in-depth interviews with MBCP participants (n=30), their workers (n=30), workers, workers supervisor (n=30) and partners/ex partners (n=15)</w:t>
            </w:r>
            <w:r w:rsidR="00954D70" w:rsidRPr="0014465C">
              <w:rPr>
                <w:rFonts w:eastAsia="Times New Roman" w:cs="Times New Roman"/>
                <w:color w:val="000000" w:themeColor="text1"/>
                <w:sz w:val="23"/>
                <w:szCs w:val="23"/>
                <w:lang w:val="en-AU" w:eastAsia="en-AU"/>
              </w:rPr>
              <w:t xml:space="preserve"> </w:t>
            </w:r>
            <w:r w:rsidRPr="0014465C">
              <w:rPr>
                <w:rFonts w:eastAsia="Times New Roman" w:cs="Times New Roman"/>
                <w:color w:val="000000" w:themeColor="text1"/>
                <w:sz w:val="23"/>
                <w:szCs w:val="23"/>
                <w:lang w:val="en-AU" w:eastAsia="en-AU"/>
              </w:rPr>
              <w:t xml:space="preserve">in three sites (Lismore, Tweed Heads and Burleigh Heads). The project aims to engage male participants who have prematurely disengaged from the MBC programs.  </w:t>
            </w:r>
          </w:p>
          <w:p w:rsidR="00F2207B" w:rsidRPr="0014465C" w:rsidRDefault="00F2207B" w:rsidP="00F2207B">
            <w:pPr>
              <w:spacing w:after="0"/>
              <w:rPr>
                <w:rFonts w:eastAsia="Times New Roman" w:cs="Times New Roman"/>
                <w:color w:val="000000" w:themeColor="text1"/>
                <w:sz w:val="23"/>
                <w:szCs w:val="23"/>
                <w:lang w:val="en-AU" w:eastAsia="en-AU"/>
              </w:rPr>
            </w:pPr>
          </w:p>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 xml:space="preserve">This project will provide better understanding of how the worker/client relationship impacts on the effectiveness of interventions and its intersection with other factors that may influence men’s attrition in MBC programs.  </w:t>
            </w:r>
          </w:p>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Other anticipated outcomes for this project include:  the identification of the strategies and techniques utilised by practitioners that balances the need to engage men in a working “alliance” to affect change whilst not “colluding” with the client; and the development practitioner practice principles, evidence informed and experiential training materials at the qualifying and post qualifying levels that support client/ worker relationships within MBC programs.</w:t>
            </w:r>
          </w:p>
        </w:tc>
        <w:tc>
          <w:tcPr>
            <w:tcW w:w="1559" w:type="dxa"/>
            <w:tcBorders>
              <w:top w:val="single" w:sz="8" w:space="0" w:color="928F2B"/>
              <w:bottom w:val="single" w:sz="8" w:space="0" w:color="928F2B"/>
            </w:tcBorders>
          </w:tcPr>
          <w:p w:rsidR="00F2207B" w:rsidRPr="0014465C" w:rsidRDefault="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 xml:space="preserve">2 years </w:t>
            </w:r>
          </w:p>
          <w:p w:rsidR="00F2207B" w:rsidRPr="0014465C" w:rsidRDefault="00954D70">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$109,803</w:t>
            </w:r>
          </w:p>
        </w:tc>
        <w:tc>
          <w:tcPr>
            <w:tcW w:w="1559" w:type="dxa"/>
            <w:tcBorders>
              <w:top w:val="single" w:sz="8" w:space="0" w:color="928F2B"/>
              <w:bottom w:val="single" w:sz="8" w:space="0" w:color="928F2B"/>
            </w:tcBorders>
            <w:shd w:val="clear" w:color="auto" w:fill="auto"/>
          </w:tcPr>
          <w:p w:rsidR="00F2207B" w:rsidRPr="0014465C" w:rsidRDefault="00F2207B" w:rsidP="00F2207B">
            <w:pPr>
              <w:spacing w:after="0"/>
              <w:rPr>
                <w:rFonts w:eastAsia="Times New Roman" w:cs="Times New Roman"/>
                <w:b/>
                <w:color w:val="000000" w:themeColor="text1"/>
                <w:sz w:val="23"/>
                <w:szCs w:val="23"/>
                <w:lang w:val="en-AU" w:eastAsia="en-AU"/>
              </w:rPr>
            </w:pPr>
            <w:r w:rsidRPr="0014465C">
              <w:rPr>
                <w:rFonts w:eastAsia="Times New Roman" w:cs="Times New Roman"/>
                <w:b/>
                <w:color w:val="000000" w:themeColor="text1"/>
                <w:sz w:val="23"/>
                <w:szCs w:val="23"/>
                <w:lang w:val="en-AU" w:eastAsia="en-AU"/>
              </w:rPr>
              <w:t xml:space="preserve">Lead: </w:t>
            </w:r>
            <w:r w:rsidRPr="0014465C">
              <w:rPr>
                <w:rFonts w:eastAsia="Times New Roman" w:cs="Times New Roman"/>
                <w:color w:val="000000" w:themeColor="text1"/>
                <w:sz w:val="23"/>
                <w:szCs w:val="23"/>
                <w:lang w:val="en-AU" w:eastAsia="en-AU"/>
              </w:rPr>
              <w:t>NSW</w:t>
            </w:r>
          </w:p>
          <w:p w:rsidR="00F2207B" w:rsidRPr="0014465C" w:rsidRDefault="00F2207B" w:rsidP="00F2207B">
            <w:pPr>
              <w:spacing w:after="0"/>
              <w:rPr>
                <w:rFonts w:eastAsia="Times New Roman" w:cs="Times New Roman"/>
                <w:b/>
                <w:color w:val="000000" w:themeColor="text1"/>
                <w:sz w:val="23"/>
                <w:szCs w:val="23"/>
                <w:lang w:val="en-AU" w:eastAsia="en-AU"/>
              </w:rPr>
            </w:pPr>
          </w:p>
          <w:p w:rsidR="00F2207B" w:rsidRPr="0014465C" w:rsidRDefault="00F2207B" w:rsidP="00F2207B">
            <w:pPr>
              <w:spacing w:after="0"/>
              <w:rPr>
                <w:rFonts w:eastAsia="Times New Roman" w:cs="Times New Roman"/>
                <w:b/>
                <w:color w:val="000000" w:themeColor="text1"/>
                <w:sz w:val="23"/>
                <w:szCs w:val="23"/>
                <w:lang w:val="en-AU" w:eastAsia="en-AU"/>
              </w:rPr>
            </w:pPr>
            <w:r w:rsidRPr="0014465C">
              <w:rPr>
                <w:rFonts w:eastAsia="Times New Roman" w:cs="Times New Roman"/>
                <w:b/>
                <w:color w:val="000000" w:themeColor="text1"/>
                <w:sz w:val="23"/>
                <w:szCs w:val="23"/>
                <w:lang w:val="en-AU" w:eastAsia="en-AU"/>
              </w:rPr>
              <w:t>Sites:</w:t>
            </w:r>
          </w:p>
          <w:p w:rsidR="00F2207B" w:rsidRPr="0014465C" w:rsidRDefault="00F2207B" w:rsidP="00F2207B">
            <w:pPr>
              <w:spacing w:after="0"/>
              <w:rPr>
                <w:rFonts w:eastAsia="Times New Roman" w:cs="Times New Roman"/>
                <w:color w:val="000000" w:themeColor="text1"/>
                <w:sz w:val="23"/>
                <w:szCs w:val="23"/>
                <w:lang w:val="en-AU" w:eastAsia="en-AU"/>
              </w:rPr>
            </w:pPr>
            <w:r w:rsidRPr="0014465C">
              <w:rPr>
                <w:rFonts w:eastAsia="Times New Roman" w:cs="Times New Roman"/>
                <w:color w:val="000000" w:themeColor="text1"/>
                <w:sz w:val="23"/>
                <w:szCs w:val="23"/>
                <w:lang w:val="en-AU" w:eastAsia="en-AU"/>
              </w:rPr>
              <w:t>1. NSW</w:t>
            </w:r>
          </w:p>
          <w:p w:rsidR="00F2207B" w:rsidRPr="0014465C" w:rsidRDefault="00F2207B" w:rsidP="00F2207B">
            <w:pPr>
              <w:spacing w:after="0"/>
              <w:rPr>
                <w:rFonts w:eastAsia="Times New Roman" w:cs="Times New Roman"/>
                <w:b/>
                <w:color w:val="000000" w:themeColor="text1"/>
                <w:sz w:val="23"/>
                <w:szCs w:val="23"/>
                <w:lang w:val="en-AU" w:eastAsia="en-AU"/>
              </w:rPr>
            </w:pPr>
            <w:r w:rsidRPr="0014465C">
              <w:rPr>
                <w:rFonts w:eastAsia="Times New Roman" w:cs="Times New Roman"/>
                <w:color w:val="000000" w:themeColor="text1"/>
                <w:sz w:val="23"/>
                <w:szCs w:val="23"/>
                <w:lang w:val="en-AU" w:eastAsia="en-AU"/>
              </w:rPr>
              <w:t>2. QLD</w:t>
            </w:r>
          </w:p>
        </w:tc>
        <w:tc>
          <w:tcPr>
            <w:tcW w:w="6520" w:type="dxa"/>
            <w:tcBorders>
              <w:top w:val="single" w:sz="8" w:space="0" w:color="928F2B"/>
              <w:bottom w:val="single" w:sz="8" w:space="0" w:color="928F2B"/>
            </w:tcBorders>
            <w:shd w:val="clear" w:color="auto" w:fill="auto"/>
          </w:tcPr>
          <w:p w:rsidR="00F2207B" w:rsidRPr="0014465C" w:rsidRDefault="00F2207B" w:rsidP="00F2207B">
            <w:pPr>
              <w:spacing w:after="0"/>
              <w:rPr>
                <w:rFonts w:eastAsia="Times New Roman" w:cs="Times New Roman"/>
                <w:b/>
                <w:bCs/>
                <w:color w:val="000000" w:themeColor="text1"/>
                <w:sz w:val="23"/>
                <w:szCs w:val="23"/>
                <w:lang w:val="en-AU" w:eastAsia="en-AU"/>
              </w:rPr>
            </w:pPr>
            <w:r w:rsidRPr="0014465C">
              <w:rPr>
                <w:rFonts w:eastAsia="Times New Roman" w:cs="Times New Roman"/>
                <w:b/>
                <w:bCs/>
                <w:color w:val="000000" w:themeColor="text1"/>
                <w:sz w:val="23"/>
                <w:szCs w:val="23"/>
                <w:lang w:val="en-AU" w:eastAsia="en-AU"/>
              </w:rPr>
              <w:t xml:space="preserve">Lead: </w:t>
            </w:r>
            <w:r w:rsidRPr="00807B17">
              <w:rPr>
                <w:rFonts w:eastAsia="Times New Roman" w:cs="Times New Roman"/>
                <w:b/>
                <w:bCs/>
                <w:color w:val="000000" w:themeColor="text1"/>
                <w:sz w:val="23"/>
                <w:szCs w:val="23"/>
                <w:lang w:val="en-AU" w:eastAsia="en-AU"/>
              </w:rPr>
              <w:t>Dr Elizabeth Rei</w:t>
            </w:r>
            <w:r w:rsidR="00807B17">
              <w:rPr>
                <w:rFonts w:eastAsia="Times New Roman" w:cs="Times New Roman"/>
                <w:b/>
                <w:bCs/>
                <w:color w:val="000000" w:themeColor="text1"/>
                <w:sz w:val="23"/>
                <w:szCs w:val="23"/>
                <w:lang w:val="en-AU" w:eastAsia="en-AU"/>
              </w:rPr>
              <w:t xml:space="preserve">mer, Southern Cross University </w:t>
            </w:r>
          </w:p>
          <w:p w:rsidR="00F2207B" w:rsidRPr="0014465C" w:rsidRDefault="00F2207B" w:rsidP="00F2207B">
            <w:pPr>
              <w:spacing w:after="0"/>
              <w:rPr>
                <w:rFonts w:eastAsia="Times New Roman" w:cs="Times New Roman"/>
                <w:b/>
                <w:bCs/>
                <w:color w:val="000000" w:themeColor="text1"/>
                <w:sz w:val="23"/>
                <w:szCs w:val="23"/>
                <w:lang w:val="en-AU" w:eastAsia="en-AU"/>
              </w:rPr>
            </w:pPr>
          </w:p>
          <w:p w:rsidR="00F2207B" w:rsidRPr="0014465C" w:rsidRDefault="00F2207B" w:rsidP="00F2207B">
            <w:pPr>
              <w:spacing w:after="0"/>
              <w:rPr>
                <w:rFonts w:eastAsia="Times New Roman" w:cs="Times New Roman"/>
                <w:b/>
                <w:bCs/>
                <w:color w:val="000000" w:themeColor="text1"/>
                <w:sz w:val="23"/>
                <w:szCs w:val="23"/>
                <w:lang w:val="en-AU" w:eastAsia="en-AU"/>
              </w:rPr>
            </w:pPr>
            <w:r w:rsidRPr="0014465C">
              <w:rPr>
                <w:rFonts w:eastAsia="Times New Roman" w:cs="Times New Roman"/>
                <w:b/>
                <w:bCs/>
                <w:color w:val="000000" w:themeColor="text1"/>
                <w:sz w:val="23"/>
                <w:szCs w:val="23"/>
                <w:lang w:val="en-AU" w:eastAsia="en-AU"/>
              </w:rPr>
              <w:t xml:space="preserve">Practitioner Expertise </w:t>
            </w:r>
          </w:p>
          <w:p w:rsidR="00F2207B" w:rsidRPr="0014465C" w:rsidRDefault="0014465C" w:rsidP="00F2207B">
            <w:pPr>
              <w:spacing w:after="0"/>
              <w:rPr>
                <w:rFonts w:eastAsia="Times New Roman" w:cs="Times New Roman"/>
                <w:bCs/>
                <w:color w:val="000000" w:themeColor="text1"/>
                <w:sz w:val="23"/>
                <w:szCs w:val="23"/>
                <w:lang w:val="en-AU" w:eastAsia="en-AU"/>
              </w:rPr>
            </w:pPr>
            <w:r>
              <w:rPr>
                <w:rFonts w:eastAsia="Times New Roman" w:cs="Times New Roman"/>
                <w:bCs/>
                <w:color w:val="000000" w:themeColor="text1"/>
                <w:sz w:val="23"/>
                <w:szCs w:val="23"/>
                <w:lang w:val="en-AU" w:eastAsia="en-AU"/>
              </w:rPr>
              <w:t xml:space="preserve">1. </w:t>
            </w:r>
            <w:r w:rsidR="00F2207B" w:rsidRPr="0014465C">
              <w:rPr>
                <w:rFonts w:eastAsia="Times New Roman" w:cs="Times New Roman"/>
                <w:bCs/>
                <w:color w:val="000000" w:themeColor="text1"/>
                <w:sz w:val="23"/>
                <w:szCs w:val="23"/>
                <w:lang w:val="en-AU" w:eastAsia="en-AU"/>
              </w:rPr>
              <w:t xml:space="preserve">Men and Family Centre Lismore, NSW </w:t>
            </w:r>
          </w:p>
          <w:p w:rsidR="00F2207B" w:rsidRPr="0014465C" w:rsidRDefault="003802C4" w:rsidP="00F2207B">
            <w:pPr>
              <w:spacing w:after="0"/>
              <w:rPr>
                <w:rFonts w:eastAsia="Times New Roman" w:cs="Times New Roman"/>
                <w:b/>
                <w:bCs/>
                <w:color w:val="000000" w:themeColor="text1"/>
                <w:sz w:val="23"/>
                <w:szCs w:val="23"/>
                <w:lang w:val="en-AU" w:eastAsia="en-AU"/>
              </w:rPr>
            </w:pPr>
            <w:r>
              <w:rPr>
                <w:rFonts w:eastAsia="Times New Roman" w:cs="Times New Roman"/>
                <w:bCs/>
                <w:color w:val="000000" w:themeColor="text1"/>
                <w:sz w:val="23"/>
                <w:szCs w:val="23"/>
                <w:lang w:val="en-AU" w:eastAsia="en-AU"/>
              </w:rPr>
              <w:t xml:space="preserve">2. </w:t>
            </w:r>
            <w:r w:rsidR="00F2207B" w:rsidRPr="0014465C">
              <w:rPr>
                <w:rFonts w:eastAsia="Times New Roman" w:cs="Times New Roman"/>
                <w:bCs/>
                <w:color w:val="000000" w:themeColor="text1"/>
                <w:sz w:val="23"/>
                <w:szCs w:val="23"/>
                <w:lang w:val="en-AU" w:eastAsia="en-AU"/>
              </w:rPr>
              <w:t>Centacare, Qld</w:t>
            </w:r>
          </w:p>
        </w:tc>
      </w:tr>
    </w:tbl>
    <w:p w:rsidR="00C7221B" w:rsidRDefault="00C7221B">
      <w:pPr>
        <w:tabs>
          <w:tab w:val="left" w:pos="20175"/>
        </w:tabs>
        <w:spacing w:before="360" w:after="80"/>
        <w:rPr>
          <w:rFonts w:cs="Arial"/>
          <w:b/>
          <w:color w:val="928F2B"/>
          <w:sz w:val="28"/>
          <w:szCs w:val="28"/>
          <w:lang w:val="en-AU"/>
        </w:rPr>
        <w:sectPr w:rsidR="00C7221B">
          <w:pgSz w:w="23814" w:h="16839" w:orient="landscape" w:code="8"/>
          <w:pgMar w:top="1276" w:right="1191" w:bottom="851" w:left="1191" w:header="709" w:footer="709" w:gutter="0"/>
          <w:cols w:space="708"/>
          <w:docGrid w:linePitch="360"/>
        </w:sectPr>
      </w:pPr>
    </w:p>
    <w:p w:rsidR="00C7221B" w:rsidRDefault="00EE6790">
      <w:pPr>
        <w:tabs>
          <w:tab w:val="left" w:pos="20175"/>
        </w:tabs>
        <w:spacing w:before="360" w:after="80"/>
        <w:rPr>
          <w:rFonts w:cs="Arial"/>
          <w:b/>
          <w:sz w:val="28"/>
          <w:szCs w:val="28"/>
          <w:lang w:val="en-AU"/>
        </w:rPr>
      </w:pPr>
      <w:r>
        <w:rPr>
          <w:rFonts w:cs="Arial"/>
          <w:b/>
          <w:color w:val="928F2B"/>
          <w:sz w:val="28"/>
          <w:szCs w:val="28"/>
          <w:lang w:val="en-AU"/>
        </w:rPr>
        <w:lastRenderedPageBreak/>
        <w:t xml:space="preserve">Strategic Research Theme 3 </w:t>
      </w:r>
      <w:r>
        <w:rPr>
          <w:rFonts w:cs="Arial"/>
          <w:b/>
          <w:sz w:val="28"/>
          <w:szCs w:val="28"/>
          <w:lang w:val="en-AU"/>
        </w:rPr>
        <w:t>Models to address diversity of perpetrators</w:t>
      </w:r>
    </w:p>
    <w:tbl>
      <w:tblPr>
        <w:tblStyle w:val="TableGrid"/>
        <w:tblW w:w="2140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1842"/>
        <w:gridCol w:w="7797"/>
        <w:gridCol w:w="1417"/>
        <w:gridCol w:w="1843"/>
        <w:gridCol w:w="6378"/>
      </w:tblGrid>
      <w:tr w:rsidR="00C7221B">
        <w:trPr>
          <w:cantSplit/>
          <w:tblHeader/>
        </w:trPr>
        <w:tc>
          <w:tcPr>
            <w:tcW w:w="2127" w:type="dxa"/>
            <w:tcBorders>
              <w:top w:val="single" w:sz="4" w:space="0" w:color="auto"/>
              <w:bottom w:val="single" w:sz="8"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Research priority </w:t>
            </w:r>
          </w:p>
        </w:tc>
        <w:tc>
          <w:tcPr>
            <w:tcW w:w="1842"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Project title</w:t>
            </w:r>
          </w:p>
        </w:tc>
        <w:tc>
          <w:tcPr>
            <w:tcW w:w="7797"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Summary</w:t>
            </w:r>
          </w:p>
        </w:tc>
        <w:tc>
          <w:tcPr>
            <w:tcW w:w="1417"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 xml:space="preserve">Length and budget </w:t>
            </w:r>
          </w:p>
        </w:tc>
        <w:tc>
          <w:tcPr>
            <w:tcW w:w="1843"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Jurisdiction</w:t>
            </w:r>
          </w:p>
        </w:tc>
        <w:tc>
          <w:tcPr>
            <w:tcW w:w="6378" w:type="dxa"/>
            <w:tcBorders>
              <w:top w:val="single" w:sz="4" w:space="0" w:color="auto"/>
            </w:tcBorders>
            <w:shd w:val="clear" w:color="auto" w:fill="928F2B"/>
          </w:tcPr>
          <w:p w:rsidR="00C7221B" w:rsidRDefault="00EE6790">
            <w:pPr>
              <w:spacing w:beforeLines="40" w:before="96" w:after="0" w:line="192" w:lineRule="auto"/>
              <w:rPr>
                <w:b/>
                <w:color w:val="FFFFFF" w:themeColor="background1"/>
                <w:sz w:val="24"/>
                <w:lang w:val="en-AU"/>
              </w:rPr>
            </w:pPr>
            <w:r>
              <w:rPr>
                <w:b/>
                <w:color w:val="FFFFFF" w:themeColor="background1"/>
                <w:sz w:val="24"/>
                <w:lang w:val="en-AU"/>
              </w:rPr>
              <w:t>Research Team</w:t>
            </w:r>
          </w:p>
        </w:tc>
      </w:tr>
      <w:tr w:rsidR="00C7221B">
        <w:trPr>
          <w:trHeight w:val="5168"/>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3.1 Best practice models for sexual assault perpetrators. </w:t>
            </w:r>
          </w:p>
        </w:tc>
        <w:tc>
          <w:tcPr>
            <w:tcW w:w="1842" w:type="dxa"/>
            <w:tcBorders>
              <w:top w:val="single" w:sz="8" w:space="0" w:color="928F2B"/>
              <w:bottom w:val="single" w:sz="8" w:space="0" w:color="928F2B"/>
            </w:tcBorders>
            <w:shd w:val="clear" w:color="auto" w:fill="auto"/>
          </w:tcPr>
          <w:p w:rsidR="00C7221B" w:rsidRPr="00547232" w:rsidRDefault="00547232">
            <w:pPr>
              <w:spacing w:after="0"/>
              <w:rPr>
                <w:rFonts w:eastAsia="Times New Roman" w:cs="Times New Roman"/>
                <w:color w:val="000000"/>
                <w:sz w:val="24"/>
                <w:lang w:val="en-AU" w:eastAsia="en-AU"/>
              </w:rPr>
            </w:pPr>
            <w:r w:rsidRPr="00547232">
              <w:rPr>
                <w:color w:val="000000" w:themeColor="text1"/>
                <w:sz w:val="24"/>
              </w:rPr>
              <w:t>Evaluating community-based approaches to sexual offender reintegration</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This project will evaluate two sex offender programs for high risk offenders exiting prison: SA’s trial Circles of Support and Accountability program; and QLD’s Uncle Alfred’s Townsville program. The qualitative evaluations will involve interviews with offenders supported through the programs, program staff/elders, and victims/ survivors and other stakeholders (e.g. police and other service providers). This project will have outcomes for both of the programs being evaluated including an evaluation of the ‘fitness’ of each of the programs as well as supporting the two programs to build ongoing evaluation into their operations.  More broadly, the evaluation will add to the evidence base about whether or how reintegration programs can work with other risk and offender management strategies. </w:t>
            </w: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1.5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$98,143</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QLD</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br/>
              <w:t>1. International</w:t>
            </w:r>
            <w:r>
              <w:rPr>
                <w:rFonts w:eastAsia="Times New Roman" w:cs="Times New Roman"/>
                <w:color w:val="000000"/>
                <w:sz w:val="24"/>
                <w:lang w:val="en-AU" w:eastAsia="en-AU"/>
              </w:rPr>
              <w:br/>
              <w:t>2. SA</w:t>
            </w:r>
            <w:r>
              <w:rPr>
                <w:rFonts w:eastAsia="Times New Roman" w:cs="Times New Roman"/>
                <w:color w:val="000000"/>
                <w:sz w:val="24"/>
                <w:lang w:val="en-AU" w:eastAsia="en-AU"/>
              </w:rPr>
              <w:br/>
              <w:t>3. QLD</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SA</w:t>
            </w:r>
            <w:r>
              <w:rPr>
                <w:rFonts w:eastAsia="Times New Roman" w:cs="Times New Roman"/>
                <w:color w:val="000000"/>
                <w:sz w:val="24"/>
                <w:lang w:val="en-AU" w:eastAsia="en-AU"/>
              </w:rPr>
              <w:br/>
              <w:t>2. QLD</w:t>
            </w:r>
          </w:p>
        </w:tc>
        <w:tc>
          <w:tcPr>
            <w:tcW w:w="6378"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 xml:space="preserve">Lead: Dr Kelly Richards, Queensland University of Technology </w:t>
            </w:r>
            <w:r>
              <w:rPr>
                <w:rFonts w:eastAsia="Times New Roman" w:cs="Times New Roman"/>
                <w:b/>
                <w:bCs/>
                <w:color w:val="000000"/>
                <w:sz w:val="24"/>
                <w:lang w:val="en-AU" w:eastAsia="en-AU"/>
              </w:rPr>
              <w:br/>
            </w:r>
            <w:r>
              <w:rPr>
                <w:rFonts w:eastAsia="Times New Roman" w:cs="Times New Roman"/>
                <w:b/>
                <w:bCs/>
                <w:color w:val="000000"/>
                <w:sz w:val="24"/>
                <w:lang w:val="en-AU" w:eastAsia="en-AU"/>
              </w:rPr>
              <w:br/>
              <w:t xml:space="preserve">Research expertise </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A/Prof Kieran McCartan, University of the West of England </w:t>
            </w:r>
            <w:r>
              <w:rPr>
                <w:rFonts w:eastAsia="Times New Roman" w:cs="Times New Roman"/>
                <w:color w:val="000000"/>
                <w:sz w:val="24"/>
                <w:lang w:val="en-AU" w:eastAsia="en-AU"/>
              </w:rPr>
              <w:br/>
              <w:t xml:space="preserve">2. Dr Jodi Death, Queensland University of Technology </w:t>
            </w:r>
            <w:r>
              <w:rPr>
                <w:rFonts w:eastAsia="Times New Roman" w:cs="Times New Roman"/>
                <w:b/>
                <w:bCs/>
                <w:color w:val="000000"/>
                <w:sz w:val="24"/>
                <w:lang w:val="en-AU" w:eastAsia="en-AU"/>
              </w:rPr>
              <w:br/>
            </w:r>
            <w:r>
              <w:rPr>
                <w:rFonts w:eastAsia="Times New Roman" w:cs="Times New Roman"/>
                <w:b/>
                <w:bCs/>
                <w:color w:val="000000"/>
                <w:sz w:val="24"/>
                <w:lang w:val="en-AU" w:eastAsia="en-AU"/>
              </w:rPr>
              <w:br/>
              <w:t>Policy expertise</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Mr Leigh Garrett, Offenders' Aid and Rehabilitation Service of South Australia </w:t>
            </w:r>
            <w:r>
              <w:rPr>
                <w:rFonts w:eastAsia="Times New Roman" w:cs="Times New Roman"/>
                <w:color w:val="000000"/>
                <w:sz w:val="24"/>
                <w:lang w:val="en-AU" w:eastAsia="en-AU"/>
              </w:rPr>
              <w:br/>
              <w:t>2. Mr Mark Rallings, Queensland Corrective Services</w:t>
            </w:r>
            <w:r>
              <w:rPr>
                <w:rFonts w:eastAsia="Times New Roman" w:cs="Times New Roman"/>
                <w:color w:val="000000"/>
                <w:sz w:val="24"/>
                <w:lang w:val="en-AU" w:eastAsia="en-AU"/>
              </w:rPr>
              <w:br/>
            </w:r>
            <w:r>
              <w:rPr>
                <w:rFonts w:eastAsia="Times New Roman" w:cs="Times New Roman"/>
                <w:b/>
                <w:bCs/>
                <w:color w:val="000000"/>
                <w:sz w:val="24"/>
                <w:lang w:val="en-AU" w:eastAsia="en-AU"/>
              </w:rPr>
              <w:br/>
              <w:t>Practitioner expertise</w:t>
            </w:r>
            <w:r>
              <w:rPr>
                <w:rFonts w:eastAsia="Times New Roman" w:cs="Times New Roman"/>
                <w:b/>
                <w:bCs/>
                <w:color w:val="000000"/>
                <w:sz w:val="24"/>
                <w:lang w:val="en-AU" w:eastAsia="en-AU"/>
              </w:rPr>
              <w:br/>
            </w:r>
            <w:r>
              <w:rPr>
                <w:rFonts w:eastAsia="Times New Roman" w:cs="Times New Roman"/>
                <w:color w:val="000000"/>
                <w:sz w:val="24"/>
                <w:lang w:val="en-AU" w:eastAsia="en-AU"/>
              </w:rPr>
              <w:t>1. Ms Carol Ronkin, Bravehearts Inc.</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bCs/>
                <w:color w:val="000000"/>
                <w:sz w:val="24"/>
                <w:lang w:val="en-AU" w:eastAsia="en-AU"/>
              </w:rPr>
            </w:pPr>
            <w:r>
              <w:rPr>
                <w:rFonts w:eastAsia="Times New Roman" w:cs="Times New Roman"/>
                <w:b/>
                <w:bCs/>
                <w:color w:val="000000"/>
                <w:sz w:val="24"/>
                <w:lang w:val="en-AU" w:eastAsia="en-AU"/>
              </w:rPr>
              <w:t>Research partners</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1. The Aboriginal and Torres Strait Islander Social Justice Commissioner (or senior representative).</w:t>
            </w:r>
            <w:r>
              <w:rPr>
                <w:rFonts w:eastAsia="Times New Roman" w:cs="Times New Roman"/>
                <w:color w:val="000000"/>
                <w:sz w:val="24"/>
                <w:lang w:val="en-AU" w:eastAsia="en-AU"/>
              </w:rPr>
              <w:br/>
              <w:t>2. A senior rep of Townsville’s Community Justice Group.</w:t>
            </w:r>
            <w:r>
              <w:rPr>
                <w:rFonts w:eastAsia="Times New Roman" w:cs="Times New Roman"/>
                <w:color w:val="000000"/>
                <w:sz w:val="24"/>
                <w:lang w:val="en-AU" w:eastAsia="en-AU"/>
              </w:rPr>
              <w:br/>
              <w:t>3. A senior rep of Bravehearts to ensure the research is sensitive to the needs of victim/survivors of sexual violence.</w:t>
            </w:r>
          </w:p>
          <w:p w:rsidR="00C7221B" w:rsidRDefault="00C7221B">
            <w:pPr>
              <w:spacing w:after="0"/>
              <w:rPr>
                <w:rFonts w:eastAsia="Times New Roman" w:cs="Times New Roman"/>
                <w:color w:val="000000"/>
                <w:sz w:val="24"/>
                <w:lang w:val="en-AU" w:eastAsia="en-AU"/>
              </w:rPr>
            </w:pPr>
          </w:p>
        </w:tc>
      </w:tr>
      <w:tr w:rsidR="00C7221B">
        <w:trPr>
          <w:trHeight w:val="2636"/>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3.2 Best practice models for family and domestic violence perpetrators </w:t>
            </w:r>
          </w:p>
        </w:tc>
        <w:tc>
          <w:tcPr>
            <w:tcW w:w="1842" w:type="dxa"/>
            <w:tcBorders>
              <w:top w:val="single" w:sz="8" w:space="0" w:color="928F2B"/>
              <w:bottom w:val="single" w:sz="8" w:space="0" w:color="928F2B"/>
            </w:tcBorders>
            <w:shd w:val="clear" w:color="auto" w:fill="auto"/>
          </w:tcPr>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t>Invisible Practices: Intervention with fathers who use violence</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Utilising an action research framework, this project will establish Communities of Practice (CoP) (n=10-12) in each participating jurisdiction, bringing together child protection and family support service practitioners working with fathers who use domestic and family violence.  The CoPs will both harness and build upon the expertise of practitioners through the mentoring of David Mandel and use of the Safe and Together training and resources.  The CoP learnings and practice developments will be evaluated through: documentation of learnings gathered by state based researchers working ethnographically with the CoP; Time 1 and Time 2 questionnaires to practitioners and a comparison group; semi structured interviews with participants; and synthesis of analysis of videos and case reports submitted to David Mandel.  </w:t>
            </w:r>
            <w:r>
              <w:rPr>
                <w:rFonts w:eastAsia="Times New Roman" w:cs="Times New Roman"/>
                <w:color w:val="000000"/>
                <w:sz w:val="24"/>
                <w:lang w:val="en-AU" w:eastAsia="en-AU"/>
              </w:rPr>
              <w:br/>
            </w:r>
            <w:r>
              <w:rPr>
                <w:rFonts w:eastAsia="Times New Roman" w:cs="Times New Roman"/>
                <w:color w:val="000000"/>
                <w:sz w:val="24"/>
                <w:lang w:val="en-AU" w:eastAsia="en-AU"/>
              </w:rPr>
              <w:br/>
              <w:t>Proposed outcomes include:</w:t>
            </w:r>
            <w:r>
              <w:rPr>
                <w:rFonts w:eastAsia="Times New Roman" w:cs="Times New Roman"/>
                <w:color w:val="000000"/>
                <w:sz w:val="24"/>
                <w:lang w:val="en-AU" w:eastAsia="en-AU"/>
              </w:rPr>
              <w:br/>
              <w:t>• Increased workforce capacity for two key sectors responding to fathers who use DFV.</w:t>
            </w:r>
            <w:r>
              <w:rPr>
                <w:rFonts w:eastAsia="Times New Roman" w:cs="Times New Roman"/>
                <w:color w:val="000000"/>
                <w:sz w:val="24"/>
                <w:lang w:val="en-AU" w:eastAsia="en-AU"/>
              </w:rPr>
              <w:br/>
              <w:t xml:space="preserve">• Supporting the development of evidence informed standards and guidelines for front- line practitioners in collaboration with No To Violence and the </w:t>
            </w:r>
            <w:r>
              <w:rPr>
                <w:rFonts w:eastAsia="Times New Roman" w:cs="Times New Roman"/>
                <w:color w:val="000000"/>
                <w:sz w:val="24"/>
                <w:lang w:val="en-AU" w:eastAsia="en-AU"/>
              </w:rPr>
              <w:lastRenderedPageBreak/>
              <w:t>Australian Child Safety Alliance.</w:t>
            </w:r>
            <w:r>
              <w:rPr>
                <w:rFonts w:eastAsia="Times New Roman" w:cs="Times New Roman"/>
                <w:color w:val="000000"/>
                <w:sz w:val="24"/>
                <w:lang w:val="en-AU" w:eastAsia="en-AU"/>
              </w:rPr>
              <w:br/>
              <w:t>• Strengthening the Australian evidence base for of the Safe and Together approach.</w:t>
            </w:r>
            <w:r>
              <w:rPr>
                <w:rFonts w:eastAsia="Times New Roman" w:cs="Times New Roman"/>
                <w:color w:val="000000"/>
                <w:sz w:val="24"/>
                <w:lang w:val="en-AU" w:eastAsia="en-AU"/>
              </w:rPr>
              <w:br/>
              <w:t>• Supporting the development of outcome measures for Child Protection and family support services that address women and children’s safety.</w:t>
            </w: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lastRenderedPageBreak/>
              <w:t>1.5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$150,000</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VIC</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br/>
              <w:t>1. WA</w:t>
            </w:r>
            <w:r>
              <w:rPr>
                <w:rFonts w:eastAsia="Times New Roman" w:cs="Times New Roman"/>
                <w:color w:val="000000"/>
                <w:sz w:val="24"/>
                <w:lang w:val="en-AU" w:eastAsia="en-AU"/>
              </w:rPr>
              <w:br/>
              <w:t>2. NSW</w:t>
            </w:r>
            <w:r>
              <w:rPr>
                <w:rFonts w:eastAsia="Times New Roman" w:cs="Times New Roman"/>
                <w:color w:val="000000"/>
                <w:sz w:val="24"/>
                <w:lang w:val="en-AU" w:eastAsia="en-AU"/>
              </w:rPr>
              <w:br/>
              <w:t>3. VIC</w:t>
            </w:r>
            <w:r>
              <w:rPr>
                <w:rFonts w:eastAsia="Times New Roman" w:cs="Times New Roman"/>
                <w:color w:val="000000"/>
                <w:sz w:val="24"/>
                <w:lang w:val="en-AU" w:eastAsia="en-AU"/>
              </w:rPr>
              <w:br/>
              <w:t>4. Qld.</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NSW</w:t>
            </w:r>
            <w:r>
              <w:rPr>
                <w:rFonts w:eastAsia="Times New Roman" w:cs="Times New Roman"/>
                <w:color w:val="000000"/>
                <w:sz w:val="24"/>
                <w:lang w:val="en-AU" w:eastAsia="en-AU"/>
              </w:rPr>
              <w:br/>
              <w:t>2. VIC</w:t>
            </w:r>
            <w:r>
              <w:rPr>
                <w:rFonts w:eastAsia="Times New Roman" w:cs="Times New Roman"/>
                <w:color w:val="000000"/>
                <w:sz w:val="24"/>
                <w:lang w:val="en-AU" w:eastAsia="en-AU"/>
              </w:rPr>
              <w:br/>
              <w:t>3. WA</w:t>
            </w:r>
            <w:r>
              <w:rPr>
                <w:rFonts w:eastAsia="Times New Roman" w:cs="Times New Roman"/>
                <w:color w:val="000000"/>
                <w:sz w:val="24"/>
                <w:lang w:val="en-AU" w:eastAsia="en-AU"/>
              </w:rPr>
              <w:br/>
              <w:t>4. QLD</w:t>
            </w:r>
          </w:p>
        </w:tc>
        <w:tc>
          <w:tcPr>
            <w:tcW w:w="6378"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Lead: Professor Cathy Humphreys, University of Melbourne.</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Research expertise</w:t>
            </w:r>
            <w:r>
              <w:rPr>
                <w:rFonts w:eastAsia="Times New Roman" w:cs="Times New Roman"/>
                <w:color w:val="000000"/>
                <w:sz w:val="24"/>
                <w:lang w:val="en-AU" w:eastAsia="en-AU"/>
              </w:rPr>
              <w:br/>
              <w:t xml:space="preserve">1. Professor Marie Connolly, University of Melbourne </w:t>
            </w:r>
            <w:r>
              <w:rPr>
                <w:rFonts w:eastAsia="Times New Roman" w:cs="Times New Roman"/>
                <w:color w:val="000000"/>
                <w:sz w:val="24"/>
                <w:lang w:val="en-AU" w:eastAsia="en-AU"/>
              </w:rPr>
              <w:br/>
              <w:t xml:space="preserve">2. Dr Lucy Healey, University of Melbourne </w:t>
            </w:r>
            <w:r>
              <w:rPr>
                <w:rFonts w:eastAsia="Times New Roman" w:cs="Times New Roman"/>
                <w:color w:val="000000"/>
                <w:sz w:val="24"/>
                <w:lang w:val="en-AU" w:eastAsia="en-AU"/>
              </w:rPr>
              <w:br/>
              <w:t xml:space="preserve">3. Professor Donna Chung, Curtin University  </w:t>
            </w:r>
            <w:r>
              <w:rPr>
                <w:rFonts w:eastAsia="Times New Roman" w:cs="Times New Roman"/>
                <w:color w:val="000000"/>
                <w:sz w:val="24"/>
                <w:lang w:val="en-AU" w:eastAsia="en-AU"/>
              </w:rPr>
              <w:br/>
              <w:t xml:space="preserve">4. Mr Damian Green, Curtin University </w:t>
            </w:r>
            <w:r>
              <w:rPr>
                <w:rFonts w:eastAsia="Times New Roman" w:cs="Times New Roman"/>
                <w:color w:val="000000"/>
                <w:sz w:val="24"/>
                <w:lang w:val="en-AU" w:eastAsia="en-AU"/>
              </w:rPr>
              <w:br/>
              <w:t xml:space="preserve">5. Professor Patrick O'Leary, Griffith University </w:t>
            </w:r>
            <w:r>
              <w:rPr>
                <w:rFonts w:eastAsia="Times New Roman" w:cs="Times New Roman"/>
                <w:color w:val="000000"/>
                <w:sz w:val="24"/>
                <w:lang w:val="en-AU" w:eastAsia="en-AU"/>
              </w:rPr>
              <w:br/>
              <w:t xml:space="preserve">6. Dr Menka Tsantefski, Griffith University </w:t>
            </w:r>
            <w:r>
              <w:rPr>
                <w:rFonts w:eastAsia="Times New Roman" w:cs="Times New Roman"/>
                <w:color w:val="000000"/>
                <w:sz w:val="24"/>
                <w:lang w:val="en-AU" w:eastAsia="en-AU"/>
              </w:rPr>
              <w:br/>
              <w:t xml:space="preserve">7. Dr Lesley Laing, The University of Sydney  </w:t>
            </w:r>
            <w:r>
              <w:rPr>
                <w:rFonts w:eastAsia="Times New Roman" w:cs="Times New Roman"/>
                <w:color w:val="000000"/>
                <w:sz w:val="24"/>
                <w:lang w:val="en-AU" w:eastAsia="en-AU"/>
              </w:rPr>
              <w:br/>
              <w:t xml:space="preserve">8. Dr Susan Heward-Bell, The University of Sydney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Policy expertise / Govt partners</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Ms Sherilee Mitchell, WA Department for Child Protection and Family Support </w:t>
            </w:r>
            <w:r>
              <w:rPr>
                <w:rFonts w:eastAsia="Times New Roman" w:cs="Times New Roman"/>
                <w:color w:val="000000"/>
                <w:sz w:val="24"/>
                <w:lang w:val="en-AU" w:eastAsia="en-AU"/>
              </w:rPr>
              <w:br/>
              <w:t xml:space="preserve">2. Ms Jan Snell, Department of Health &amp; Human Services, VIC </w:t>
            </w:r>
            <w:r>
              <w:rPr>
                <w:rFonts w:eastAsia="Times New Roman" w:cs="Times New Roman"/>
                <w:color w:val="000000"/>
                <w:sz w:val="24"/>
                <w:lang w:val="en-AU" w:eastAsia="en-AU"/>
              </w:rPr>
              <w:br/>
              <w:t xml:space="preserve">3. Ms Deb Tsorbaris, The Centre for Excellence in Child &amp; Family Welfare </w:t>
            </w:r>
            <w:r>
              <w:rPr>
                <w:rFonts w:eastAsia="Times New Roman" w:cs="Times New Roman"/>
                <w:color w:val="000000"/>
                <w:sz w:val="24"/>
                <w:lang w:val="en-AU" w:eastAsia="en-AU"/>
              </w:rPr>
              <w:br/>
            </w:r>
            <w:r>
              <w:rPr>
                <w:rFonts w:eastAsia="Times New Roman" w:cs="Times New Roman"/>
                <w:color w:val="000000"/>
                <w:sz w:val="24"/>
                <w:lang w:val="en-AU" w:eastAsia="en-AU"/>
              </w:rPr>
              <w:lastRenderedPageBreak/>
              <w:t xml:space="preserve">4. Ms Kate Alexander, NSW Department of Family and Community Services </w:t>
            </w:r>
            <w:r>
              <w:rPr>
                <w:rFonts w:eastAsia="Times New Roman" w:cs="Times New Roman"/>
                <w:color w:val="000000"/>
                <w:sz w:val="24"/>
                <w:lang w:val="en-AU" w:eastAsia="en-AU"/>
              </w:rPr>
              <w:br/>
              <w:t xml:space="preserve">5. Professor Muriel Bamblett, VIC Aboriginal Child Care Agency </w:t>
            </w:r>
            <w:r>
              <w:rPr>
                <w:rFonts w:eastAsia="Times New Roman" w:cs="Times New Roman"/>
                <w:color w:val="000000"/>
                <w:sz w:val="24"/>
                <w:lang w:val="en-AU" w:eastAsia="en-AU"/>
              </w:rPr>
              <w:br/>
              <w:t>6. Ms Kate Cherry, QLD Department of Communities, Child Safety and Disability Services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Research partners</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1. Australian Child Safety Alliance (ACSA)</w:t>
            </w:r>
          </w:p>
          <w:p w:rsidR="00C7221B" w:rsidRDefault="00C7221B">
            <w:pPr>
              <w:spacing w:after="0"/>
              <w:rPr>
                <w:rFonts w:eastAsia="Times New Roman" w:cs="Times New Roman"/>
                <w:color w:val="000000"/>
                <w:sz w:val="24"/>
                <w:lang w:val="en-AU" w:eastAsia="en-AU"/>
              </w:rPr>
            </w:pPr>
          </w:p>
        </w:tc>
      </w:tr>
      <w:tr w:rsidR="00C7221B">
        <w:trPr>
          <w:trHeight w:val="5168"/>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lastRenderedPageBreak/>
              <w:t xml:space="preserve">3.3 Models to address diversity </w:t>
            </w:r>
          </w:p>
        </w:tc>
        <w:tc>
          <w:tcPr>
            <w:tcW w:w="1842"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Good practice in delivering and evaluating interventions for young people with sexually abusive behaviours</w:t>
            </w:r>
          </w:p>
        </w:tc>
        <w:tc>
          <w:tcPr>
            <w:tcW w:w="7797" w:type="dxa"/>
            <w:tcBorders>
              <w:top w:val="single" w:sz="8" w:space="0" w:color="928F2B"/>
              <w:bottom w:val="single" w:sz="8" w:space="0" w:color="928F2B"/>
            </w:tcBorders>
          </w:tcPr>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t xml:space="preserve">Young people account for a significant proportion of perpetrators of sex abuse against children and young people and many have a history of childhood trauma including exposure to domestic and family violence.  Such knowledge has seen a shift in treatment approaches toward specialised therapeutic services.  For a variety of reasons however, there has been significant disparity in the therapeutic models applied. </w:t>
            </w:r>
          </w:p>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t>This mixed methods study will utilise:</w:t>
            </w:r>
            <w:r>
              <w:rPr>
                <w:rFonts w:eastAsia="Times New Roman" w:cs="Times New Roman"/>
                <w:color w:val="000000"/>
                <w:sz w:val="24"/>
                <w:lang w:val="en-AU" w:eastAsia="en-AU"/>
              </w:rPr>
              <w:br/>
              <w:t xml:space="preserve">• national mapping of service responses to young people with sexually abusive behaviours (SABs); </w:t>
            </w:r>
            <w:r>
              <w:rPr>
                <w:rFonts w:eastAsia="Times New Roman" w:cs="Times New Roman"/>
                <w:color w:val="000000"/>
                <w:sz w:val="24"/>
                <w:lang w:val="en-AU" w:eastAsia="en-AU"/>
              </w:rPr>
              <w:br/>
              <w:t xml:space="preserve">• a comparative process evaluation of three services (including semi-structured interviews and focus groups with program managers and practitioners and interviews with clients and statutory and policy professionals. The fieldwork will also include interpretation of findings with practitioner participants); and </w:t>
            </w:r>
            <w:r>
              <w:rPr>
                <w:rFonts w:eastAsia="Times New Roman" w:cs="Times New Roman"/>
                <w:color w:val="000000"/>
                <w:sz w:val="24"/>
                <w:lang w:val="en-AU" w:eastAsia="en-AU"/>
              </w:rPr>
              <w:br/>
              <w:t xml:space="preserve">• conclude with a research to policy/practice forum.   The forum will test and refine insights from the three sites to inform future policy and service model design. </w:t>
            </w:r>
            <w:r>
              <w:rPr>
                <w:rFonts w:eastAsia="Times New Roman" w:cs="Times New Roman"/>
                <w:color w:val="000000"/>
                <w:sz w:val="24"/>
                <w:lang w:val="en-AU" w:eastAsia="en-AU"/>
              </w:rPr>
              <w:br/>
            </w:r>
            <w:r>
              <w:rPr>
                <w:rFonts w:eastAsia="Times New Roman" w:cs="Times New Roman"/>
                <w:color w:val="000000"/>
                <w:sz w:val="24"/>
                <w:lang w:val="en-AU" w:eastAsia="en-AU"/>
              </w:rPr>
              <w:br/>
              <w:t xml:space="preserve">This project will utilise the knowledge of practitioners and other stakeholders to better understand the complex interplay between program design and outcomes and contextual factors that shape therapeutic responses in order to support a practice-informed understanding of good practice principles of specialised interventions, informing future therapeutic approaches. </w:t>
            </w:r>
          </w:p>
          <w:p w:rsidR="00C7221B" w:rsidRDefault="00C7221B">
            <w:pPr>
              <w:rPr>
                <w:rFonts w:eastAsia="Times New Roman" w:cs="Times New Roman"/>
                <w:color w:val="000000"/>
                <w:sz w:val="24"/>
                <w:lang w:val="en-AU" w:eastAsia="en-AU"/>
              </w:rPr>
            </w:pP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2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$196,055</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b/>
                <w:bCs/>
                <w:color w:val="000000"/>
                <w:sz w:val="24"/>
                <w:lang w:val="en-AU" w:eastAsia="en-AU"/>
              </w:rPr>
            </w:pPr>
            <w:r>
              <w:rPr>
                <w:rFonts w:eastAsia="Times New Roman" w:cs="Times New Roman"/>
                <w:b/>
                <w:color w:val="000000"/>
                <w:sz w:val="24"/>
                <w:lang w:val="en-AU" w:eastAsia="en-AU"/>
              </w:rPr>
              <w:t xml:space="preserve">Lead: </w:t>
            </w:r>
            <w:r>
              <w:rPr>
                <w:rFonts w:eastAsia="Times New Roman" w:cs="Times New Roman"/>
                <w:color w:val="000000"/>
                <w:sz w:val="24"/>
                <w:lang w:val="en-AU" w:eastAsia="en-AU"/>
              </w:rPr>
              <w:t>VIC</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t xml:space="preserve"> </w:t>
            </w:r>
            <w:r>
              <w:rPr>
                <w:rFonts w:eastAsia="Times New Roman" w:cs="Times New Roman"/>
                <w:color w:val="000000"/>
                <w:sz w:val="24"/>
                <w:lang w:val="en-AU" w:eastAsia="en-AU"/>
              </w:rPr>
              <w:br/>
              <w:t>1. VIC</w:t>
            </w:r>
            <w:r>
              <w:rPr>
                <w:rFonts w:eastAsia="Times New Roman" w:cs="Times New Roman"/>
                <w:color w:val="000000"/>
                <w:sz w:val="24"/>
                <w:lang w:val="en-AU" w:eastAsia="en-AU"/>
              </w:rPr>
              <w:br/>
              <w:t>2. NSW</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NSW</w:t>
            </w:r>
            <w:r>
              <w:rPr>
                <w:rFonts w:eastAsia="Times New Roman" w:cs="Times New Roman"/>
                <w:color w:val="000000"/>
                <w:sz w:val="24"/>
                <w:lang w:val="en-AU" w:eastAsia="en-AU"/>
              </w:rPr>
              <w:br/>
              <w:t>2. VIC</w:t>
            </w:r>
            <w:r>
              <w:rPr>
                <w:rFonts w:eastAsia="Times New Roman" w:cs="Times New Roman"/>
                <w:color w:val="000000"/>
                <w:sz w:val="24"/>
                <w:lang w:val="en-AU" w:eastAsia="en-AU"/>
              </w:rPr>
              <w:br/>
              <w:t>3. QLD</w:t>
            </w:r>
          </w:p>
        </w:tc>
        <w:tc>
          <w:tcPr>
            <w:tcW w:w="6378"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 xml:space="preserve">Lead: Dr Antonia Quadara, Australian Institute of Family Studies </w:t>
            </w:r>
            <w:r>
              <w:rPr>
                <w:rFonts w:eastAsia="Times New Roman" w:cs="Times New Roman"/>
                <w:color w:val="000000"/>
                <w:sz w:val="24"/>
                <w:lang w:val="en-AU" w:eastAsia="en-AU"/>
              </w:rPr>
              <w:br/>
            </w:r>
            <w:r>
              <w:rPr>
                <w:rFonts w:eastAsia="Times New Roman" w:cs="Times New Roman"/>
                <w:b/>
                <w:bCs/>
                <w:color w:val="000000"/>
                <w:sz w:val="24"/>
                <w:lang w:val="en-AU" w:eastAsia="en-AU"/>
              </w:rPr>
              <w:br/>
              <w:t>Research expertise</w:t>
            </w:r>
            <w:r>
              <w:rPr>
                <w:rFonts w:eastAsia="Times New Roman" w:cs="Times New Roman"/>
                <w:color w:val="000000"/>
                <w:sz w:val="24"/>
                <w:lang w:val="en-AU" w:eastAsia="en-AU"/>
              </w:rPr>
              <w:br/>
              <w:t xml:space="preserve">1. Dr Wendy O'Brien, Deakin University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Practice expertise</w:t>
            </w:r>
            <w:r>
              <w:rPr>
                <w:rFonts w:eastAsia="Times New Roman" w:cs="Times New Roman"/>
                <w:b/>
                <w:bCs/>
                <w:color w:val="000000"/>
                <w:sz w:val="24"/>
                <w:lang w:val="en-AU" w:eastAsia="en-AU"/>
              </w:rPr>
              <w:br/>
            </w:r>
            <w:r>
              <w:rPr>
                <w:rFonts w:eastAsia="Times New Roman" w:cs="Times New Roman"/>
                <w:color w:val="000000"/>
                <w:sz w:val="24"/>
                <w:lang w:val="en-AU" w:eastAsia="en-AU"/>
              </w:rPr>
              <w:t>1. Mr Dale Tolliday, New Street Services</w:t>
            </w:r>
            <w:r>
              <w:rPr>
                <w:rFonts w:eastAsia="Times New Roman" w:cs="Times New Roman"/>
                <w:color w:val="000000"/>
                <w:sz w:val="24"/>
                <w:lang w:val="en-AU" w:eastAsia="en-AU"/>
              </w:rPr>
              <w:br/>
              <w:t xml:space="preserve">2. Mr Howard Bath, Alambi Care </w:t>
            </w:r>
            <w:r>
              <w:rPr>
                <w:rFonts w:eastAsia="Times New Roman" w:cs="Times New Roman"/>
                <w:color w:val="000000"/>
                <w:sz w:val="24"/>
                <w:lang w:val="en-AU" w:eastAsia="en-AU"/>
              </w:rPr>
              <w:br/>
              <w:t xml:space="preserve">3. Ms Carolyn Worth, South Eastern Centre Against Sexual Assault and Family Violence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color w:val="000000"/>
                <w:sz w:val="24"/>
                <w:lang w:val="en-AU" w:eastAsia="en-AU"/>
              </w:rPr>
            </w:pPr>
            <w:r>
              <w:rPr>
                <w:rFonts w:eastAsia="Times New Roman" w:cs="Times New Roman"/>
                <w:b/>
                <w:color w:val="000000"/>
                <w:sz w:val="24"/>
                <w:lang w:val="en-AU" w:eastAsia="en-AU"/>
              </w:rPr>
              <w:t>Research partners</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1. New Zealand Association for the Treatment of Sexual Abuse (ANZATSA)</w:t>
            </w:r>
            <w:r>
              <w:rPr>
                <w:rFonts w:eastAsia="Times New Roman" w:cs="Times New Roman"/>
                <w:color w:val="000000"/>
                <w:sz w:val="24"/>
                <w:lang w:val="en-AU" w:eastAsia="en-AU"/>
              </w:rPr>
              <w:br/>
              <w:t>2. Mr Russell Pratt, Statewide Principal Practitioner in the Office of Professional Practice DHHS (who delivers SABTS programs in Victoria)</w:t>
            </w:r>
            <w:r>
              <w:rPr>
                <w:rFonts w:eastAsia="Times New Roman" w:cs="Times New Roman"/>
                <w:color w:val="000000"/>
                <w:sz w:val="24"/>
                <w:lang w:val="en-AU" w:eastAsia="en-AU"/>
              </w:rPr>
              <w:br/>
              <w:t xml:space="preserve">3. Advisory Group with representatives from diverse sectors such as police, child and family welfare agencies, family support services, family violence services, child protection and education. </w:t>
            </w:r>
          </w:p>
        </w:tc>
      </w:tr>
      <w:tr w:rsidR="00C7221B">
        <w:trPr>
          <w:trHeight w:val="5168"/>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lastRenderedPageBreak/>
              <w:t xml:space="preserve">3.3 Models to address diversity </w:t>
            </w:r>
          </w:p>
        </w:tc>
        <w:tc>
          <w:tcPr>
            <w:tcW w:w="1842"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The PIPA Project - Positive Interventions for Perpetrators of Adolescent Violence in the Home (AVITH).</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The PIPA project aims to improve evidence on the prevalence of adolescent violence in the home (AVITH) as it presents in different justice and service contexts; its co-occurrence with other issues and juvenile offending; and current responses and gaps in service delivery.  This project has two separate but complimentary research approaches.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The first will use: a literature review; quantitative and qualitative data collection and analysis, including interviews and focus groups with practitioners from courts, family violence services, ChildFirst, family services, legal services, youth and education services; court observations as well as a mapping of the legislative, regulatory frameworks along with policy and service responses across the three jurisdictions; to examine the prevalence of AVITH and current responses to it across Victoria, Tasmania and WA.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Secondly, an Innovation Case Study is proposed using action research approach to track changes in legislation, policy and practice during the implementation of the Victorian Royal Commission into Family Violence recommendations. The Victorian case study will provide learnings to support the development of integrated responses and practice in other jurisdictions whilst supporting local implementation through its action research based framework.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The research team will be supported by a project steering group enabling information exchange between, with and across sectors and to senior government officials.  Changes in practice and ongoing gaps in service delivery identified through surveys of practitioners and by steering group members will support ongoing implementation and provide learnings for other jurisdictions.  </w:t>
            </w: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2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$168,221</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VIC</w:t>
            </w:r>
          </w:p>
          <w:p w:rsidR="00C7221B" w:rsidRDefault="00EE6790">
            <w:pPr>
              <w:spacing w:after="0"/>
              <w:rPr>
                <w:rFonts w:eastAsia="Times New Roman" w:cs="Times New Roman"/>
                <w:b/>
                <w:bCs/>
                <w:color w:val="000000"/>
                <w:sz w:val="24"/>
                <w:lang w:val="en-AU" w:eastAsia="en-AU"/>
              </w:rPr>
            </w:pPr>
            <w:r>
              <w:rPr>
                <w:rFonts w:eastAsia="Times New Roman" w:cs="Times New Roman"/>
                <w:color w:val="000000"/>
                <w:sz w:val="24"/>
                <w:lang w:val="en-AU" w:eastAsia="en-AU"/>
              </w:rPr>
              <w:br/>
            </w:r>
            <w:r>
              <w:rPr>
                <w:rFonts w:eastAsia="Times New Roman" w:cs="Times New Roman"/>
                <w:b/>
                <w:color w:val="000000"/>
                <w:sz w:val="24"/>
                <w:lang w:val="en-AU" w:eastAsia="en-AU"/>
              </w:rPr>
              <w:t>Partners:</w:t>
            </w:r>
            <w:r>
              <w:rPr>
                <w:rFonts w:eastAsia="Times New Roman" w:cs="Times New Roman"/>
                <w:color w:val="000000"/>
                <w:sz w:val="24"/>
                <w:lang w:val="en-AU" w:eastAsia="en-AU"/>
              </w:rPr>
              <w:br/>
              <w:t>1. VIC</w:t>
            </w:r>
            <w:r>
              <w:rPr>
                <w:rFonts w:eastAsia="Times New Roman" w:cs="Times New Roman"/>
                <w:color w:val="000000"/>
                <w:sz w:val="24"/>
                <w:lang w:val="en-AU" w:eastAsia="en-AU"/>
              </w:rPr>
              <w:br/>
              <w:t>2. TAS</w:t>
            </w:r>
            <w:r>
              <w:rPr>
                <w:rFonts w:eastAsia="Times New Roman" w:cs="Times New Roman"/>
                <w:color w:val="000000"/>
                <w:sz w:val="24"/>
                <w:lang w:val="en-AU" w:eastAsia="en-AU"/>
              </w:rPr>
              <w:br/>
              <w:t>3. WA</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br/>
              <w:t>1. TAS</w:t>
            </w:r>
            <w:r>
              <w:rPr>
                <w:rFonts w:eastAsia="Times New Roman" w:cs="Times New Roman"/>
                <w:color w:val="000000"/>
                <w:sz w:val="24"/>
                <w:lang w:val="en-AU" w:eastAsia="en-AU"/>
              </w:rPr>
              <w:br/>
              <w:t>2. VIC</w:t>
            </w:r>
            <w:r>
              <w:rPr>
                <w:rFonts w:eastAsia="Times New Roman" w:cs="Times New Roman"/>
                <w:color w:val="000000"/>
                <w:sz w:val="24"/>
                <w:lang w:val="en-AU" w:eastAsia="en-AU"/>
              </w:rPr>
              <w:br/>
              <w:t>3. WA</w:t>
            </w:r>
          </w:p>
        </w:tc>
        <w:tc>
          <w:tcPr>
            <w:tcW w:w="6378"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 xml:space="preserve">Lead: Associate Professor Rob Hulls, RMIT University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Researcher expertise</w:t>
            </w:r>
            <w:r>
              <w:rPr>
                <w:rFonts w:eastAsia="Times New Roman" w:cs="Times New Roman"/>
                <w:color w:val="000000"/>
                <w:sz w:val="24"/>
                <w:lang w:val="en-AU" w:eastAsia="en-AU"/>
              </w:rPr>
              <w:br/>
              <w:t xml:space="preserve">1. Ms Elena Campbell, RMIT University </w:t>
            </w:r>
            <w:r>
              <w:rPr>
                <w:rFonts w:eastAsia="Times New Roman" w:cs="Times New Roman"/>
                <w:color w:val="000000"/>
                <w:sz w:val="24"/>
                <w:lang w:val="en-AU" w:eastAsia="en-AU"/>
              </w:rPr>
              <w:br/>
              <w:t xml:space="preserve">2. Dr Helen Cockburn, University of Tasmania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 xml:space="preserve">Practitioner expertise </w:t>
            </w:r>
            <w:r>
              <w:rPr>
                <w:rFonts w:eastAsia="Times New Roman" w:cs="Times New Roman"/>
                <w:b/>
                <w:bCs/>
                <w:color w:val="000000"/>
                <w:sz w:val="24"/>
                <w:lang w:val="en-AU" w:eastAsia="en-AU"/>
              </w:rPr>
              <w:br/>
            </w:r>
            <w:r>
              <w:rPr>
                <w:rFonts w:eastAsia="Times New Roman" w:cs="Times New Roman"/>
                <w:color w:val="000000"/>
                <w:sz w:val="24"/>
                <w:lang w:val="en-AU" w:eastAsia="en-AU"/>
              </w:rPr>
              <w:t xml:space="preserve">1. Ms Jo Howard, Kildonan UnitingCare </w:t>
            </w:r>
            <w:r>
              <w:rPr>
                <w:rFonts w:eastAsia="Times New Roman" w:cs="Times New Roman"/>
                <w:color w:val="000000"/>
                <w:sz w:val="24"/>
                <w:lang w:val="en-AU" w:eastAsia="en-AU"/>
              </w:rPr>
              <w:br/>
              <w:t xml:space="preserve">2. Ms Rosy Jolic, Victoria Legal Aid </w:t>
            </w:r>
            <w:r>
              <w:rPr>
                <w:rFonts w:eastAsia="Times New Roman" w:cs="Times New Roman"/>
                <w:color w:val="000000"/>
                <w:sz w:val="24"/>
                <w:lang w:val="en-AU" w:eastAsia="en-AU"/>
              </w:rPr>
              <w:br/>
              <w:t xml:space="preserve">3. Ms Be Westbrook, Peel Youth Services </w:t>
            </w:r>
            <w:r>
              <w:rPr>
                <w:rFonts w:eastAsia="Times New Roman" w:cs="Times New Roman"/>
                <w:color w:val="000000"/>
                <w:sz w:val="24"/>
                <w:lang w:val="en-AU" w:eastAsia="en-AU"/>
              </w:rPr>
              <w:br/>
              <w:t>4. Ms Maureen Kavanagh Legal Aid, Western Australia</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color w:val="000000"/>
                <w:sz w:val="24"/>
                <w:lang w:val="en-AU" w:eastAsia="en-AU"/>
              </w:rPr>
            </w:pPr>
            <w:r>
              <w:rPr>
                <w:rFonts w:eastAsia="Times New Roman" w:cs="Times New Roman"/>
                <w:b/>
                <w:color w:val="000000"/>
                <w:sz w:val="24"/>
                <w:lang w:val="en-AU" w:eastAsia="en-AU"/>
              </w:rPr>
              <w:t>Research partners</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Establishment of a Steering Group including:</w:t>
            </w:r>
            <w:r>
              <w:rPr>
                <w:rFonts w:eastAsia="Times New Roman" w:cs="Times New Roman"/>
                <w:color w:val="000000"/>
                <w:sz w:val="24"/>
                <w:lang w:val="en-AU" w:eastAsia="en-AU"/>
              </w:rPr>
              <w:br/>
              <w:t xml:space="preserve">1. President of the Children’s Court of Victoria  </w:t>
            </w:r>
            <w:r>
              <w:rPr>
                <w:rFonts w:eastAsia="Times New Roman" w:cs="Times New Roman"/>
                <w:color w:val="000000"/>
                <w:sz w:val="24"/>
                <w:lang w:val="en-AU" w:eastAsia="en-AU"/>
              </w:rPr>
              <w:br/>
              <w:t>2. Commissioner for Children and Young People</w:t>
            </w:r>
            <w:r>
              <w:rPr>
                <w:rFonts w:eastAsia="Times New Roman" w:cs="Times New Roman"/>
                <w:color w:val="000000"/>
                <w:sz w:val="24"/>
                <w:lang w:val="en-AU" w:eastAsia="en-AU"/>
              </w:rPr>
              <w:br/>
              <w:t>3. Commissioner for Aboriginal Children and Young People</w:t>
            </w:r>
            <w:r>
              <w:rPr>
                <w:rFonts w:eastAsia="Times New Roman" w:cs="Times New Roman"/>
                <w:color w:val="000000"/>
                <w:sz w:val="24"/>
                <w:lang w:val="en-AU" w:eastAsia="en-AU"/>
              </w:rPr>
              <w:br/>
              <w:t xml:space="preserve">4. Assistant Commissioner, Victoria Police, Family Violence Command </w:t>
            </w:r>
            <w:r>
              <w:rPr>
                <w:rFonts w:eastAsia="Times New Roman" w:cs="Times New Roman"/>
                <w:color w:val="000000"/>
                <w:sz w:val="24"/>
                <w:lang w:val="en-AU" w:eastAsia="en-AU"/>
              </w:rPr>
              <w:br/>
              <w:t xml:space="preserve">5. Family Violence Program Manager, Victoria Legal Aid </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6. Executive Director, Jesuit Social Service</w:t>
            </w:r>
            <w:r>
              <w:rPr>
                <w:rFonts w:eastAsia="Times New Roman" w:cs="Times New Roman"/>
                <w:color w:val="000000"/>
                <w:sz w:val="24"/>
                <w:lang w:val="en-AU" w:eastAsia="en-AU"/>
              </w:rPr>
              <w:br/>
              <w:t>7. Chair, Victorian Association for Restorative Justice</w:t>
            </w:r>
            <w:r>
              <w:rPr>
                <w:rFonts w:eastAsia="Times New Roman" w:cs="Times New Roman"/>
                <w:color w:val="000000"/>
                <w:sz w:val="24"/>
                <w:lang w:val="en-AU" w:eastAsia="en-AU"/>
              </w:rPr>
              <w:br/>
              <w:t>8. Family Violence Program Manager, Good Shepherd</w:t>
            </w:r>
            <w:r>
              <w:rPr>
                <w:rFonts w:eastAsia="Times New Roman" w:cs="Times New Roman"/>
                <w:color w:val="000000"/>
                <w:sz w:val="24"/>
                <w:lang w:val="en-AU" w:eastAsia="en-AU"/>
              </w:rPr>
              <w:br/>
              <w:t xml:space="preserve">9. Sexual Assault and Family Violence Program Manager, Department of Justice &amp; Regulation </w:t>
            </w:r>
            <w:r>
              <w:rPr>
                <w:rFonts w:eastAsia="Times New Roman" w:cs="Times New Roman"/>
                <w:color w:val="000000"/>
                <w:sz w:val="24"/>
                <w:lang w:val="en-AU" w:eastAsia="en-AU"/>
              </w:rPr>
              <w:br/>
              <w:t>10. Youth Justice Manager, Department of Health and Human Services</w:t>
            </w:r>
            <w:r>
              <w:rPr>
                <w:rFonts w:eastAsia="Times New Roman" w:cs="Times New Roman"/>
                <w:color w:val="000000"/>
                <w:sz w:val="24"/>
                <w:lang w:val="en-AU" w:eastAsia="en-AU"/>
              </w:rPr>
              <w:br/>
              <w:t>11. Family Violence Program Manager, YouthLaw</w:t>
            </w:r>
            <w:r>
              <w:rPr>
                <w:rFonts w:eastAsia="Times New Roman" w:cs="Times New Roman"/>
                <w:color w:val="000000"/>
                <w:sz w:val="24"/>
                <w:lang w:val="en-AU" w:eastAsia="en-AU"/>
              </w:rPr>
              <w:br/>
              <w:t>12. CEO, Women’s Legal Service</w:t>
            </w:r>
            <w:r>
              <w:rPr>
                <w:rFonts w:eastAsia="Times New Roman" w:cs="Times New Roman"/>
                <w:color w:val="000000"/>
                <w:sz w:val="24"/>
                <w:lang w:val="en-AU" w:eastAsia="en-AU"/>
              </w:rPr>
              <w:br/>
              <w:t>13.  Executive Director or Policy Officer, Domestic Violence Victoria</w:t>
            </w:r>
            <w:r>
              <w:rPr>
                <w:rFonts w:eastAsia="Times New Roman" w:cs="Times New Roman"/>
                <w:color w:val="000000"/>
                <w:sz w:val="24"/>
                <w:lang w:val="en-AU" w:eastAsia="en-AU"/>
              </w:rPr>
              <w:br/>
              <w:t>14. CEO or Policy Officer, No To Violence</w:t>
            </w:r>
          </w:p>
          <w:p w:rsidR="00C7221B" w:rsidRDefault="00C7221B">
            <w:pPr>
              <w:spacing w:after="0"/>
              <w:rPr>
                <w:rFonts w:eastAsia="Times New Roman" w:cs="Times New Roman"/>
                <w:color w:val="000000"/>
                <w:sz w:val="24"/>
                <w:lang w:val="en-AU" w:eastAsia="en-AU"/>
              </w:rPr>
            </w:pPr>
          </w:p>
        </w:tc>
      </w:tr>
      <w:tr w:rsidR="00C7221B">
        <w:trPr>
          <w:trHeight w:val="5168"/>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lastRenderedPageBreak/>
              <w:t xml:space="preserve">3.3 Models to address diversity </w:t>
            </w:r>
          </w:p>
        </w:tc>
        <w:tc>
          <w:tcPr>
            <w:tcW w:w="1842" w:type="dxa"/>
            <w:tcBorders>
              <w:top w:val="single" w:sz="8" w:space="0" w:color="928F2B"/>
              <w:bottom w:val="single" w:sz="8" w:space="0" w:color="928F2B"/>
            </w:tcBorders>
            <w:shd w:val="clear" w:color="auto" w:fill="auto"/>
          </w:tcPr>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t>Developing and testing LGBTIQ programs for perpetrators and survivors of domestic and family violence</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This study will tailor and trial the Relationships Australia Family Safety Program with perpetrators and victims of DFV who are part of the LGBTIQ community.  The research will focus on effective responses to violence against women within LGBTI communities. In order to examine interventions with women in these communities, the project proposes to trial group programs for 3 cohorts of perpetrators and victims/survivors including: women who identify as lesbian, bisexual, and queer; men who identify as gay, bisexual and queer; and a mixed LGBTIQ group. </w:t>
            </w:r>
            <w:r>
              <w:rPr>
                <w:rFonts w:eastAsia="Times New Roman" w:cs="Times New Roman"/>
                <w:color w:val="000000"/>
                <w:sz w:val="24"/>
                <w:lang w:val="en-AU" w:eastAsia="en-AU"/>
              </w:rPr>
              <w:br/>
            </w:r>
            <w:r>
              <w:rPr>
                <w:rFonts w:eastAsia="Times New Roman" w:cs="Times New Roman"/>
                <w:color w:val="000000"/>
                <w:sz w:val="24"/>
                <w:lang w:val="en-AU" w:eastAsia="en-AU"/>
              </w:rPr>
              <w:br/>
              <w:t>The project aims to provide new knowledge and practice principles for working with members of LGBTIQ communities who perpetrate DFV.</w:t>
            </w:r>
            <w:r>
              <w:rPr>
                <w:rFonts w:eastAsia="Times New Roman" w:cs="Times New Roman"/>
                <w:color w:val="000000"/>
                <w:sz w:val="24"/>
                <w:lang w:val="en-AU" w:eastAsia="en-AU"/>
              </w:rPr>
              <w:br/>
            </w:r>
            <w:r>
              <w:rPr>
                <w:rFonts w:eastAsia="Times New Roman" w:cs="Times New Roman"/>
                <w:color w:val="000000"/>
                <w:sz w:val="24"/>
                <w:lang w:val="en-AU" w:eastAsia="en-AU"/>
              </w:rPr>
              <w:br/>
              <w:t xml:space="preserve">The quasi-experimental mixed method design will use a literature review, pre and post intervention surveys and qualitative interviews with clients and professionals.  It aims to generate information about the nature of violence in LGBTIQ relationships including the role that gender plays in characterising DFV and the extent to which gender based interventions are required for LGBTIQ victims and perpetrators. </w:t>
            </w:r>
            <w:r>
              <w:rPr>
                <w:rFonts w:eastAsia="Times New Roman" w:cs="Times New Roman"/>
                <w:color w:val="000000"/>
                <w:sz w:val="24"/>
                <w:lang w:val="en-AU" w:eastAsia="en-AU"/>
              </w:rPr>
              <w:br/>
            </w:r>
            <w:r>
              <w:rPr>
                <w:rFonts w:eastAsia="Times New Roman" w:cs="Times New Roman"/>
                <w:color w:val="000000"/>
                <w:sz w:val="24"/>
                <w:lang w:val="en-AU" w:eastAsia="en-AU"/>
              </w:rPr>
              <w:br/>
              <w:t xml:space="preserve">Proposed outcomes for the project include an increased understanding of the nature of DFV within LGBTIQ communities, information to guide screening and intake of LGBTIQ clients into programs and the role of behaviour change groups in increasing safety for women and children in these communities.  </w:t>
            </w:r>
          </w:p>
          <w:p w:rsidR="00C7221B" w:rsidRDefault="00C7221B">
            <w:pPr>
              <w:spacing w:after="0"/>
              <w:rPr>
                <w:rFonts w:eastAsia="Times New Roman" w:cs="Times New Roman"/>
                <w:color w:val="000000"/>
                <w:sz w:val="24"/>
                <w:lang w:val="en-AU" w:eastAsia="en-AU"/>
              </w:rPr>
            </w:pPr>
          </w:p>
          <w:p w:rsidR="00C7221B" w:rsidRDefault="00C7221B">
            <w:pPr>
              <w:spacing w:after="0"/>
              <w:rPr>
                <w:rFonts w:eastAsia="Times New Roman" w:cs="Times New Roman"/>
                <w:color w:val="000000"/>
                <w:sz w:val="24"/>
                <w:lang w:val="en-AU" w:eastAsia="en-AU"/>
              </w:rPr>
            </w:pP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2 years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$158,113</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NSW</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br/>
            </w:r>
            <w:r>
              <w:rPr>
                <w:rFonts w:eastAsia="Times New Roman" w:cs="Times New Roman"/>
                <w:b/>
                <w:color w:val="000000"/>
                <w:sz w:val="24"/>
                <w:lang w:val="en-AU" w:eastAsia="en-AU"/>
              </w:rPr>
              <w:t>Partner:</w:t>
            </w:r>
            <w:r>
              <w:rPr>
                <w:rFonts w:eastAsia="Times New Roman" w:cs="Times New Roman"/>
                <w:color w:val="000000"/>
                <w:sz w:val="24"/>
                <w:lang w:val="en-AU" w:eastAsia="en-AU"/>
              </w:rPr>
              <w:t xml:space="preserve"> NSW</w:t>
            </w:r>
          </w:p>
          <w:p w:rsidR="00C7221B" w:rsidRDefault="00EE6790">
            <w:pPr>
              <w:spacing w:after="0"/>
              <w:rPr>
                <w:rFonts w:eastAsia="Times New Roman" w:cs="Times New Roman"/>
                <w:b/>
                <w:bCs/>
                <w:color w:val="000000"/>
                <w:sz w:val="24"/>
                <w:lang w:val="en-AU" w:eastAsia="en-AU"/>
              </w:rPr>
            </w:pP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t xml:space="preserve"> NSW</w:t>
            </w:r>
          </w:p>
        </w:tc>
        <w:tc>
          <w:tcPr>
            <w:tcW w:w="6378" w:type="dxa"/>
            <w:tcBorders>
              <w:top w:val="single" w:sz="8" w:space="0" w:color="928F2B"/>
              <w:bottom w:val="single" w:sz="8" w:space="0" w:color="928F2B"/>
            </w:tcBorders>
            <w:shd w:val="clear" w:color="auto" w:fill="auto"/>
          </w:tcPr>
          <w:p w:rsidR="00C7221B" w:rsidRDefault="00807B17">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Lead: Mr James Gray</w:t>
            </w:r>
            <w:r w:rsidR="00EE6790">
              <w:rPr>
                <w:rFonts w:eastAsia="Times New Roman" w:cs="Times New Roman"/>
                <w:b/>
                <w:bCs/>
                <w:color w:val="000000"/>
                <w:sz w:val="24"/>
                <w:lang w:val="en-AU" w:eastAsia="en-AU"/>
              </w:rPr>
              <w:t>, ACON</w:t>
            </w:r>
            <w:r w:rsidR="00EE6790">
              <w:rPr>
                <w:rFonts w:eastAsia="Times New Roman" w:cs="Times New Roman"/>
                <w:color w:val="000000"/>
                <w:sz w:val="24"/>
                <w:lang w:val="en-AU" w:eastAsia="en-AU"/>
              </w:rPr>
              <w:br/>
            </w:r>
            <w:r w:rsidR="00EE6790">
              <w:rPr>
                <w:rFonts w:eastAsia="Times New Roman" w:cs="Times New Roman"/>
                <w:color w:val="000000"/>
                <w:sz w:val="24"/>
                <w:lang w:val="en-AU" w:eastAsia="en-AU"/>
              </w:rPr>
              <w:br/>
            </w:r>
            <w:r w:rsidR="00EE6790">
              <w:rPr>
                <w:rFonts w:eastAsia="Times New Roman" w:cs="Times New Roman"/>
                <w:b/>
                <w:bCs/>
                <w:color w:val="000000"/>
                <w:sz w:val="24"/>
                <w:lang w:val="en-AU" w:eastAsia="en-AU"/>
              </w:rPr>
              <w:t>Research expertise</w:t>
            </w:r>
            <w:r w:rsidR="00EE6790">
              <w:rPr>
                <w:rFonts w:eastAsia="Times New Roman" w:cs="Times New Roman"/>
                <w:color w:val="000000"/>
                <w:sz w:val="24"/>
                <w:lang w:val="en-AU" w:eastAsia="en-AU"/>
              </w:rPr>
              <w:t xml:space="preserve"> (service based)</w:t>
            </w:r>
            <w:r w:rsidR="00EE6790">
              <w:rPr>
                <w:rFonts w:eastAsia="Times New Roman" w:cs="Times New Roman"/>
                <w:color w:val="000000"/>
                <w:sz w:val="24"/>
                <w:lang w:val="en-AU" w:eastAsia="en-AU"/>
              </w:rPr>
              <w:br/>
              <w:t xml:space="preserve">1. Dr Rebecca Gray, Relationships Australia (NSW) </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2. Dr Tim Broady, Relationships Australia (NSW)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Practice expertise</w:t>
            </w:r>
            <w:r>
              <w:rPr>
                <w:rFonts w:eastAsia="Times New Roman" w:cs="Times New Roman"/>
                <w:color w:val="000000"/>
                <w:sz w:val="24"/>
                <w:lang w:val="en-AU" w:eastAsia="en-AU"/>
              </w:rPr>
              <w:br/>
              <w:t>1. Ms Elizabeth Shaw, Relationships Australia (NSW)</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2. Mr Andrew King, Relationships Australian (NSW)    </w:t>
            </w:r>
            <w:r>
              <w:rPr>
                <w:rFonts w:eastAsia="Times New Roman" w:cs="Times New Roman"/>
                <w:color w:val="000000"/>
                <w:sz w:val="24"/>
                <w:lang w:val="en-AU" w:eastAsia="en-AU"/>
              </w:rPr>
              <w:br/>
              <w:t xml:space="preserve">3. Ms Claudia Stephenson, Relationships Australia (NSW) </w:t>
            </w:r>
            <w:r>
              <w:rPr>
                <w:rFonts w:eastAsia="Times New Roman" w:cs="Times New Roman"/>
                <w:color w:val="000000"/>
                <w:sz w:val="24"/>
                <w:lang w:val="en-AU" w:eastAsia="en-AU"/>
              </w:rPr>
              <w:br/>
              <w:t>4. Mrs Shannon Wright, ACON</w:t>
            </w:r>
            <w:r>
              <w:rPr>
                <w:rFonts w:eastAsia="Times New Roman" w:cs="Times New Roman"/>
                <w:color w:val="000000"/>
                <w:sz w:val="24"/>
                <w:lang w:val="en-AU" w:eastAsia="en-AU"/>
              </w:rPr>
              <w:br/>
              <w:t xml:space="preserve">5. Ms Kai Noonan, ACON </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b/>
                <w:color w:val="000000"/>
                <w:sz w:val="24"/>
                <w:lang w:val="en-AU" w:eastAsia="en-AU"/>
              </w:rPr>
            </w:pPr>
            <w:r>
              <w:rPr>
                <w:rFonts w:eastAsia="Times New Roman" w:cs="Times New Roman"/>
                <w:b/>
                <w:color w:val="000000"/>
                <w:sz w:val="24"/>
                <w:lang w:val="en-AU" w:eastAsia="en-AU"/>
              </w:rPr>
              <w:t>Research partners</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Reference group, including:</w:t>
            </w:r>
            <w:r>
              <w:rPr>
                <w:rFonts w:eastAsia="Times New Roman" w:cs="Times New Roman"/>
                <w:color w:val="000000"/>
                <w:sz w:val="24"/>
                <w:lang w:val="en-AU" w:eastAsia="en-AU"/>
              </w:rPr>
              <w:br/>
              <w:t>1. Dr Philomena Horsley, La Trobe University</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2. Emeritus Professor Thea Brown, Monash University</w:t>
            </w:r>
            <w:r>
              <w:rPr>
                <w:rFonts w:eastAsia="Times New Roman" w:cs="Times New Roman"/>
                <w:color w:val="000000"/>
                <w:sz w:val="24"/>
                <w:lang w:val="en-AU" w:eastAsia="en-AU"/>
              </w:rPr>
              <w:br/>
              <w:t>3. Dr Christy Newman, UNSW</w:t>
            </w:r>
            <w:r>
              <w:rPr>
                <w:rFonts w:eastAsia="Times New Roman" w:cs="Times New Roman"/>
                <w:color w:val="000000"/>
                <w:sz w:val="24"/>
                <w:lang w:val="en-AU" w:eastAsia="en-AU"/>
              </w:rPr>
              <w:br/>
              <w:t>4. Dr Sarah Wendt, Flinders University</w:t>
            </w:r>
            <w:r>
              <w:rPr>
                <w:rFonts w:eastAsia="Times New Roman" w:cs="Times New Roman"/>
                <w:color w:val="000000"/>
                <w:sz w:val="24"/>
                <w:lang w:val="en-AU" w:eastAsia="en-AU"/>
              </w:rPr>
              <w:br/>
              <w:t>5. Dr Jemima Petch, Relationships Australia Queensland and Queensland University of Technology</w:t>
            </w:r>
            <w:r>
              <w:rPr>
                <w:rFonts w:eastAsia="Times New Roman" w:cs="Times New Roman"/>
                <w:color w:val="000000"/>
                <w:sz w:val="24"/>
                <w:lang w:val="en-AU" w:eastAsia="en-AU"/>
              </w:rPr>
              <w:br/>
              <w:t>6. Chris Pye, Relationships Australia Queensland</w:t>
            </w:r>
          </w:p>
        </w:tc>
      </w:tr>
      <w:tr w:rsidR="00C7221B" w:rsidTr="00807B17">
        <w:trPr>
          <w:trHeight w:val="4736"/>
        </w:trPr>
        <w:tc>
          <w:tcPr>
            <w:tcW w:w="2127" w:type="dxa"/>
            <w:tcBorders>
              <w:top w:val="single" w:sz="8" w:space="0" w:color="928F2B"/>
              <w:bottom w:val="single" w:sz="8" w:space="0" w:color="928F2B"/>
              <w:tl2br w:val="nil"/>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 xml:space="preserve">3.3 Models to address diversity </w:t>
            </w:r>
          </w:p>
        </w:tc>
        <w:tc>
          <w:tcPr>
            <w:tcW w:w="1842" w:type="dxa"/>
            <w:tcBorders>
              <w:top w:val="single" w:sz="8" w:space="0" w:color="928F2B"/>
              <w:bottom w:val="single" w:sz="8" w:space="0" w:color="928F2B"/>
            </w:tcBorders>
            <w:shd w:val="clear" w:color="auto" w:fill="auto"/>
          </w:tcPr>
          <w:p w:rsidR="00C7221B" w:rsidRDefault="00EE6790">
            <w:pPr>
              <w:rPr>
                <w:rFonts w:eastAsia="Times New Roman" w:cs="Times New Roman"/>
                <w:color w:val="000000"/>
                <w:sz w:val="24"/>
                <w:lang w:val="en-AU" w:eastAsia="en-AU"/>
              </w:rPr>
            </w:pPr>
            <w:r>
              <w:rPr>
                <w:rFonts w:eastAsia="Times New Roman" w:cs="Times New Roman"/>
                <w:color w:val="000000"/>
                <w:sz w:val="24"/>
                <w:lang w:val="en-AU" w:eastAsia="en-AU"/>
              </w:rPr>
              <w:t>Best practice principles for interventions with domestic and family violence perpetrators from refugee backgrounds</w:t>
            </w:r>
          </w:p>
        </w:tc>
        <w:tc>
          <w:tcPr>
            <w:tcW w:w="779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This project intends to provide evidence to inform interventions for perpetrators of refugee backgrounds that are responsive to refugees’ experiences of torture and trauma.  This sequential exploratory mixed methods study will utilise an integrative literature review; qualitative interviews (n=40) with community members of Burmese, Afghan, Sudanese, Iraqi and Iranian backgrounds and focus groups with CALD &amp; refugee services, DFV services and mainstream services (n= 16-20); followed by a two round Delphi method approach with informed community members from dominant refugee regions. The project aims to develop consensus around underpinning principles for culturally appropriate and effective perpetrator interventions in order to support the development and delivery of culturally appropriate trauma informed DFV interventions with perpetrators from refugee communities. Deliverables from this project will include the development of best practice principles and guidelines.</w:t>
            </w:r>
          </w:p>
        </w:tc>
        <w:tc>
          <w:tcPr>
            <w:tcW w:w="1417" w:type="dxa"/>
            <w:tcBorders>
              <w:top w:val="single" w:sz="8" w:space="0" w:color="928F2B"/>
              <w:bottom w:val="single" w:sz="8" w:space="0" w:color="928F2B"/>
            </w:tcBorders>
          </w:tcPr>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2 years</w:t>
            </w:r>
          </w:p>
          <w:p w:rsidR="00C7221B" w:rsidRDefault="00C7221B">
            <w:pPr>
              <w:spacing w:after="0"/>
              <w:rPr>
                <w:rFonts w:eastAsia="Times New Roman" w:cs="Times New Roman"/>
                <w:color w:val="000000"/>
                <w:sz w:val="24"/>
                <w:lang w:val="en-AU" w:eastAsia="en-AU"/>
              </w:rPr>
            </w:pPr>
          </w:p>
          <w:p w:rsidR="00C7221B" w:rsidRDefault="00EE6790">
            <w:pPr>
              <w:spacing w:after="0"/>
              <w:rPr>
                <w:rFonts w:eastAsia="Times New Roman" w:cs="Times New Roman"/>
                <w:color w:val="000000"/>
                <w:sz w:val="24"/>
                <w:lang w:val="en-AU" w:eastAsia="en-AU"/>
              </w:rPr>
            </w:pPr>
            <w:r>
              <w:rPr>
                <w:rFonts w:eastAsia="Times New Roman" w:cs="Times New Roman"/>
                <w:bCs/>
                <w:color w:val="000000"/>
                <w:sz w:val="24"/>
                <w:lang w:val="en-AU" w:eastAsia="en-AU"/>
              </w:rPr>
              <w:t>$193,095</w:t>
            </w:r>
          </w:p>
        </w:tc>
        <w:tc>
          <w:tcPr>
            <w:tcW w:w="1843"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color w:val="000000"/>
                <w:sz w:val="24"/>
                <w:lang w:val="en-AU" w:eastAsia="en-AU"/>
              </w:rPr>
              <w:t>Lead:</w:t>
            </w:r>
            <w:r>
              <w:rPr>
                <w:rFonts w:eastAsia="Times New Roman" w:cs="Times New Roman"/>
                <w:color w:val="000000"/>
                <w:sz w:val="24"/>
                <w:lang w:val="en-AU" w:eastAsia="en-AU"/>
              </w:rPr>
              <w:t xml:space="preserve"> WA</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br/>
            </w:r>
            <w:r>
              <w:rPr>
                <w:rFonts w:eastAsia="Times New Roman" w:cs="Times New Roman"/>
                <w:b/>
                <w:color w:val="000000"/>
                <w:sz w:val="24"/>
                <w:lang w:val="en-AU" w:eastAsia="en-AU"/>
              </w:rPr>
              <w:t>Partner:</w:t>
            </w:r>
            <w:r>
              <w:rPr>
                <w:rFonts w:eastAsia="Times New Roman" w:cs="Times New Roman"/>
                <w:color w:val="000000"/>
                <w:sz w:val="24"/>
                <w:lang w:val="en-AU" w:eastAsia="en-AU"/>
              </w:rPr>
              <w:t xml:space="preserve"> WA</w:t>
            </w:r>
          </w:p>
          <w:p w:rsidR="00C7221B" w:rsidRDefault="00EE6790">
            <w:pPr>
              <w:spacing w:after="0"/>
              <w:rPr>
                <w:rFonts w:eastAsia="Times New Roman" w:cs="Times New Roman"/>
                <w:b/>
                <w:bCs/>
                <w:color w:val="000000"/>
                <w:sz w:val="24"/>
                <w:lang w:val="en-AU" w:eastAsia="en-AU"/>
              </w:rPr>
            </w:pPr>
            <w:r>
              <w:rPr>
                <w:rFonts w:eastAsia="Times New Roman" w:cs="Times New Roman"/>
                <w:color w:val="000000"/>
                <w:sz w:val="24"/>
                <w:lang w:val="en-AU" w:eastAsia="en-AU"/>
              </w:rPr>
              <w:br/>
            </w:r>
            <w:r>
              <w:rPr>
                <w:rFonts w:eastAsia="Times New Roman" w:cs="Times New Roman"/>
                <w:b/>
                <w:color w:val="000000"/>
                <w:sz w:val="24"/>
                <w:lang w:val="en-AU" w:eastAsia="en-AU"/>
              </w:rPr>
              <w:t>Sites:</w:t>
            </w:r>
            <w:r>
              <w:rPr>
                <w:rFonts w:eastAsia="Times New Roman" w:cs="Times New Roman"/>
                <w:color w:val="000000"/>
                <w:sz w:val="24"/>
                <w:lang w:val="en-AU" w:eastAsia="en-AU"/>
              </w:rPr>
              <w:t xml:space="preserve"> WA</w:t>
            </w:r>
          </w:p>
        </w:tc>
        <w:tc>
          <w:tcPr>
            <w:tcW w:w="6378" w:type="dxa"/>
            <w:tcBorders>
              <w:top w:val="single" w:sz="8" w:space="0" w:color="928F2B"/>
              <w:bottom w:val="single" w:sz="8" w:space="0" w:color="928F2B"/>
            </w:tcBorders>
            <w:shd w:val="clear" w:color="auto" w:fill="auto"/>
          </w:tcPr>
          <w:p w:rsidR="00C7221B" w:rsidRDefault="00EE6790">
            <w:pPr>
              <w:spacing w:after="0"/>
              <w:rPr>
                <w:rFonts w:eastAsia="Times New Roman" w:cs="Times New Roman"/>
                <w:color w:val="000000"/>
                <w:sz w:val="24"/>
                <w:lang w:val="en-AU" w:eastAsia="en-AU"/>
              </w:rPr>
            </w:pPr>
            <w:r>
              <w:rPr>
                <w:rFonts w:eastAsia="Times New Roman" w:cs="Times New Roman"/>
                <w:b/>
                <w:bCs/>
                <w:color w:val="000000"/>
                <w:sz w:val="24"/>
                <w:lang w:val="en-AU" w:eastAsia="en-AU"/>
              </w:rPr>
              <w:t>Lead: Professor Colleen Fisher, University of Western Australia</w:t>
            </w:r>
            <w:r>
              <w:rPr>
                <w:rFonts w:eastAsia="Times New Roman" w:cs="Times New Roman"/>
                <w:b/>
                <w:bCs/>
                <w:color w:val="000000"/>
                <w:sz w:val="24"/>
                <w:lang w:val="en-AU" w:eastAsia="en-AU"/>
              </w:rPr>
              <w:br/>
            </w:r>
            <w:r>
              <w:rPr>
                <w:rFonts w:eastAsia="Times New Roman" w:cs="Times New Roman"/>
                <w:b/>
                <w:bCs/>
                <w:color w:val="000000"/>
                <w:sz w:val="24"/>
                <w:lang w:val="en-AU" w:eastAsia="en-AU"/>
              </w:rPr>
              <w:br/>
              <w:t xml:space="preserve">Research Expertise </w:t>
            </w:r>
            <w:r>
              <w:rPr>
                <w:rFonts w:eastAsia="Times New Roman" w:cs="Times New Roman"/>
                <w:color w:val="000000"/>
                <w:sz w:val="24"/>
                <w:lang w:val="en-AU" w:eastAsia="en-AU"/>
              </w:rPr>
              <w:br/>
              <w:t xml:space="preserve">1. Professor Lisa Wood, University of Western Australia </w:t>
            </w:r>
            <w:r>
              <w:rPr>
                <w:rFonts w:eastAsia="Times New Roman" w:cs="Times New Roman"/>
                <w:color w:val="000000"/>
                <w:sz w:val="24"/>
                <w:lang w:val="en-AU" w:eastAsia="en-AU"/>
              </w:rPr>
              <w:br/>
              <w:t xml:space="preserve">2. Dr Karen Martin, University of Western Australia </w:t>
            </w:r>
            <w:r>
              <w:rPr>
                <w:rFonts w:eastAsia="Times New Roman" w:cs="Times New Roman"/>
                <w:color w:val="000000"/>
                <w:sz w:val="24"/>
                <w:lang w:val="en-AU" w:eastAsia="en-AU"/>
              </w:rPr>
              <w:br/>
            </w:r>
            <w:r>
              <w:rPr>
                <w:rFonts w:eastAsia="Times New Roman" w:cs="Times New Roman"/>
                <w:color w:val="000000"/>
                <w:sz w:val="24"/>
                <w:lang w:val="en-AU" w:eastAsia="en-AU"/>
              </w:rPr>
              <w:br/>
            </w:r>
            <w:r>
              <w:rPr>
                <w:rFonts w:eastAsia="Times New Roman" w:cs="Times New Roman"/>
                <w:b/>
                <w:bCs/>
                <w:color w:val="000000"/>
                <w:sz w:val="24"/>
                <w:lang w:val="en-AU" w:eastAsia="en-AU"/>
              </w:rPr>
              <w:t xml:space="preserve">Practitioner Expertise </w:t>
            </w:r>
            <w:r>
              <w:rPr>
                <w:rFonts w:eastAsia="Times New Roman" w:cs="Times New Roman"/>
                <w:color w:val="000000"/>
                <w:sz w:val="24"/>
                <w:lang w:val="en-AU" w:eastAsia="en-AU"/>
              </w:rPr>
              <w:br/>
              <w:t xml:space="preserve">1. Ms Amanda Gillett, Association for Services to Torture &amp; Trauma Survivors (ASeTTS) </w:t>
            </w:r>
          </w:p>
          <w:p w:rsidR="00C7221B" w:rsidRDefault="00EE6790">
            <w:pPr>
              <w:spacing w:after="0"/>
              <w:rPr>
                <w:rFonts w:eastAsia="Times New Roman" w:cs="Times New Roman"/>
                <w:color w:val="000000"/>
                <w:sz w:val="24"/>
                <w:lang w:val="en-AU" w:eastAsia="en-AU"/>
              </w:rPr>
            </w:pPr>
            <w:r>
              <w:rPr>
                <w:rFonts w:eastAsia="Times New Roman" w:cs="Times New Roman"/>
                <w:color w:val="000000"/>
                <w:sz w:val="24"/>
                <w:lang w:val="en-AU" w:eastAsia="en-AU"/>
              </w:rPr>
              <w:t>2. Ms April Pearlman, ASeTTS </w:t>
            </w:r>
          </w:p>
        </w:tc>
      </w:tr>
      <w:bookmarkEnd w:id="0"/>
    </w:tbl>
    <w:p w:rsidR="00C7221B" w:rsidRDefault="00C7221B" w:rsidP="00807B17">
      <w:pPr>
        <w:pStyle w:val="FootnoteText"/>
        <w:spacing w:before="240"/>
        <w:ind w:right="-357"/>
        <w:rPr>
          <w:lang w:val="en-AU"/>
        </w:rPr>
      </w:pPr>
    </w:p>
    <w:sectPr w:rsidR="00C7221B">
      <w:pgSz w:w="23814" w:h="16839" w:orient="landscape" w:code="8"/>
      <w:pgMar w:top="1276" w:right="1191"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21B" w:rsidRDefault="00EE6790">
      <w:pPr>
        <w:spacing w:after="0"/>
      </w:pPr>
      <w:r>
        <w:separator/>
      </w:r>
    </w:p>
  </w:endnote>
  <w:endnote w:type="continuationSeparator" w:id="0">
    <w:p w:rsidR="00C7221B" w:rsidRDefault="00EE67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dobe Caslon Pro">
    <w:altName w:val="Georgia"/>
    <w:panose1 w:val="00000000000000000000"/>
    <w:charset w:val="00"/>
    <w:family w:val="roma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nivers 55 Roman">
    <w:altName w:val="Times New Roman"/>
    <w:charset w:val="00"/>
    <w:family w:val="auto"/>
    <w:pitch w:val="variable"/>
    <w:sig w:usb0="8000002F" w:usb1="40000048" w:usb2="00000000" w:usb3="00000000" w:csb0="00000111" w:csb1="00000000"/>
  </w:font>
  <w:font w:name="ヒラギノ角ゴ Pro W3">
    <w:charset w:val="80"/>
    <w:family w:val="auto"/>
    <w:pitch w:val="variable"/>
    <w:sig w:usb0="E00002FF" w:usb1="7AC7FFFF" w:usb2="00000012" w:usb3="00000000" w:csb0="0002000D" w:csb1="00000000"/>
  </w:font>
  <w:font w:name="Lucida Grande">
    <w:altName w:val="Times New Roman"/>
    <w:charset w:val="00"/>
    <w:family w:val="auto"/>
    <w:pitch w:val="variable"/>
    <w:sig w:usb0="E1000AEF" w:usb1="5000A1FF" w:usb2="00000000" w:usb3="00000000" w:csb0="000001B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21B" w:rsidRDefault="00C722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FooterAddress"/>
      <w:ind w:right="360"/>
      <w:rPr>
        <w:rStyle w:val="SubtleEmphasis"/>
        <w:color w:val="auto"/>
      </w:rPr>
    </w:pPr>
    <w:r>
      <w:rPr>
        <w:noProof/>
        <w:lang w:val="en-AU" w:eastAsia="en-AU"/>
      </w:rPr>
      <mc:AlternateContent>
        <mc:Choice Requires="wps">
          <w:drawing>
            <wp:anchor distT="0" distB="0" distL="114300" distR="114300" simplePos="0" relativeHeight="251688960" behindDoc="1" locked="0" layoutInCell="1" allowOverlap="1" wp14:anchorId="311742D7" wp14:editId="646BEF2C">
              <wp:simplePos x="0" y="0"/>
              <wp:positionH relativeFrom="column">
                <wp:posOffset>7774940</wp:posOffset>
              </wp:positionH>
              <wp:positionV relativeFrom="page">
                <wp:posOffset>5340985</wp:posOffset>
              </wp:positionV>
              <wp:extent cx="2684145" cy="2684145"/>
              <wp:effectExtent l="0" t="0" r="33655" b="33655"/>
              <wp:wrapNone/>
              <wp:docPr id="55" name="Straight Connector 55"/>
              <wp:cNvGraphicFramePr/>
              <a:graphic xmlns:a="http://schemas.openxmlformats.org/drawingml/2006/main">
                <a:graphicData uri="http://schemas.microsoft.com/office/word/2010/wordprocessingShape">
                  <wps:wsp>
                    <wps:cNvCnPr/>
                    <wps:spPr>
                      <a:xfrm flipV="1">
                        <a:off x="0" y="0"/>
                        <a:ext cx="2684145" cy="2684145"/>
                      </a:xfrm>
                      <a:prstGeom prst="line">
                        <a:avLst/>
                      </a:prstGeom>
                      <a:ln w="12700" cmpd="sng">
                        <a:solidFill>
                          <a:srgbClr val="928F2B"/>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F1E2CDC" id="Straight Connector 55"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12.2pt,420.55pt" to="823.55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" strokecolor="#928f2b" strokeweight="1pt">
              <w10:wrap anchory="page"/>
            </v:line>
          </w:pict>
        </mc:Fallback>
      </mc:AlternateContent>
    </w:r>
    <w:r>
      <w:rPr>
        <w:noProof/>
        <w:color w:val="auto"/>
        <w:lang w:val="en-AU" w:eastAsia="en-AU"/>
      </w:rPr>
      <mc:AlternateContent>
        <mc:Choice Requires="wps">
          <w:drawing>
            <wp:anchor distT="0" distB="0" distL="114300" distR="114300" simplePos="0" relativeHeight="251671552" behindDoc="1" locked="0" layoutInCell="1" allowOverlap="1" wp14:anchorId="1BC34640" wp14:editId="2D6AC1DE">
              <wp:simplePos x="0" y="0"/>
              <wp:positionH relativeFrom="column">
                <wp:posOffset>4855845</wp:posOffset>
              </wp:positionH>
              <wp:positionV relativeFrom="page">
                <wp:posOffset>9010824</wp:posOffset>
              </wp:positionV>
              <wp:extent cx="2025650" cy="2025650"/>
              <wp:effectExtent l="0" t="0" r="31750" b="31750"/>
              <wp:wrapNone/>
              <wp:docPr id="2" name="Straight Connector 2"/>
              <wp:cNvGraphicFramePr/>
              <a:graphic xmlns:a="http://schemas.openxmlformats.org/drawingml/2006/main">
                <a:graphicData uri="http://schemas.microsoft.com/office/word/2010/wordprocessingShape">
                  <wps:wsp>
                    <wps:cNvCnPr/>
                    <wps:spPr>
                      <a:xfrm flipV="1">
                        <a:off x="0" y="0"/>
                        <a:ext cx="2025650" cy="2025650"/>
                      </a:xfrm>
                      <a:prstGeom prst="line">
                        <a:avLst/>
                      </a:prstGeom>
                      <a:ln w="12700" cmpd="sng">
                        <a:solidFill>
                          <a:srgbClr val="928F2B"/>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ECCDB3E" id="Straight Connector 2"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82.35pt,709.5pt" to="541.8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" strokecolor="#928f2b" strokeweight="1pt">
              <w10:wrap anchory="page"/>
            </v:line>
          </w:pict>
        </mc:Fallback>
      </mc:AlternateContent>
    </w:r>
  </w:p>
  <w:p w:rsidR="00C7221B" w:rsidRDefault="00EE6790">
    <w:pPr>
      <w:pStyle w:val="Footer"/>
      <w:framePr w:wrap="around" w:vAnchor="text" w:hAnchor="margin" w:xAlign="right" w:y="63"/>
    </w:pPr>
    <w:r>
      <w:rPr>
        <w:rStyle w:val="PageNumber"/>
      </w:rPr>
      <w:fldChar w:fldCharType="begin"/>
    </w:r>
    <w:r>
      <w:rPr>
        <w:rStyle w:val="PageNumber"/>
      </w:rPr>
      <w:instrText xml:space="preserve">PAGE  </w:instrText>
    </w:r>
    <w:r>
      <w:rPr>
        <w:rStyle w:val="PageNumber"/>
      </w:rPr>
      <w:fldChar w:fldCharType="separate"/>
    </w:r>
    <w:r w:rsidR="00020B05">
      <w:rPr>
        <w:rStyle w:val="PageNumber"/>
        <w:noProof/>
      </w:rPr>
      <w:t>2</w:t>
    </w:r>
    <w:r>
      <w:rPr>
        <w:rStyle w:val="PageNumber"/>
      </w:rPr>
      <w:fldChar w:fldCharType="end"/>
    </w:r>
  </w:p>
  <w:p w:rsidR="00C7221B" w:rsidRDefault="00EE6790">
    <w:pPr>
      <w:pStyle w:val="FooterAddress"/>
      <w:ind w:right="360"/>
      <w:rPr>
        <w:rStyle w:val="SubtleEmphasis"/>
        <w:b/>
        <w:i w:val="0"/>
        <w:color w:val="928F2B"/>
      </w:rPr>
    </w:pPr>
    <w:r>
      <w:rPr>
        <w:rStyle w:val="SubtleEmphasis"/>
        <w:b/>
        <w:i w:val="0"/>
        <w:color w:val="928F2B"/>
      </w:rPr>
      <w:t>anrows.org.au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Footer"/>
    </w:pPr>
    <w:r>
      <w:rPr>
        <w:noProof/>
        <w:lang w:val="en-AU" w:eastAsia="en-AU"/>
      </w:rPr>
      <w:drawing>
        <wp:inline distT="0" distB="0" distL="0" distR="0" wp14:anchorId="2540600C" wp14:editId="31B17770">
          <wp:extent cx="3068320" cy="1468120"/>
          <wp:effectExtent l="0" t="0" r="5080" b="5080"/>
          <wp:docPr id="17" name="Picture 17" descr="WIP:ANROWS:_Corp ID:logo:ANROWS 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ANROWS:_Corp ID:logo:ANROWS Logo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8320" cy="1468120"/>
                  </a:xfrm>
                  <a:prstGeom prst="rect">
                    <a:avLst/>
                  </a:prstGeom>
                  <a:noFill/>
                  <a:ln>
                    <a:noFill/>
                  </a:ln>
                </pic:spPr>
              </pic:pic>
            </a:graphicData>
          </a:graphic>
        </wp:inline>
      </w:drawing>
    </w:r>
    <w:r>
      <w:rPr>
        <w:noProof/>
        <w:lang w:val="en-AU" w:eastAsia="en-AU"/>
      </w:rPr>
      <mc:AlternateContent>
        <mc:Choice Requires="wps">
          <w:drawing>
            <wp:anchor distT="0" distB="0" distL="114300" distR="114300" simplePos="0" relativeHeight="251676672" behindDoc="1" locked="0" layoutInCell="1" allowOverlap="1" wp14:anchorId="003FDDAE" wp14:editId="2D281575">
              <wp:simplePos x="0" y="0"/>
              <wp:positionH relativeFrom="column">
                <wp:posOffset>4032520</wp:posOffset>
              </wp:positionH>
              <wp:positionV relativeFrom="page">
                <wp:posOffset>4833620</wp:posOffset>
              </wp:positionV>
              <wp:extent cx="6192416" cy="6192417"/>
              <wp:effectExtent l="0" t="0" r="31115" b="31115"/>
              <wp:wrapNone/>
              <wp:docPr id="24" name="Straight Connector 24"/>
              <wp:cNvGraphicFramePr/>
              <a:graphic xmlns:a="http://schemas.openxmlformats.org/drawingml/2006/main">
                <a:graphicData uri="http://schemas.microsoft.com/office/word/2010/wordprocessingShape">
                  <wps:wsp>
                    <wps:cNvCnPr/>
                    <wps:spPr>
                      <a:xfrm flipV="1">
                        <a:off x="0" y="0"/>
                        <a:ext cx="6192416" cy="6192417"/>
                      </a:xfrm>
                      <a:prstGeom prst="line">
                        <a:avLst/>
                      </a:prstGeom>
                      <a:ln w="12700" cmpd="sng">
                        <a:solidFill>
                          <a:srgbClr val="928F2B"/>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78DDF6A" id="Straight Connector 24"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17.5pt,380.6pt" to="805.1pt,8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" strokecolor="#928f2b" strokeweight="1pt">
              <w10:wrap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FootnoteText"/>
      <w:ind w:right="-74"/>
      <w:rPr>
        <w:rStyle w:val="SubtleEmphasis"/>
        <w:i w:val="0"/>
        <w:iCs w:val="0"/>
        <w:color w:val="auto"/>
        <w:sz w:val="19"/>
        <w:szCs w:val="19"/>
        <w:lang w:val="en-AU"/>
      </w:rPr>
    </w:pPr>
    <w:r>
      <w:rPr>
        <w:noProof/>
        <w:sz w:val="19"/>
        <w:szCs w:val="19"/>
        <w:lang w:val="en-AU" w:eastAsia="en-AU"/>
      </w:rPr>
      <mc:AlternateContent>
        <mc:Choice Requires="wps">
          <w:drawing>
            <wp:anchor distT="0" distB="0" distL="114300" distR="114300" simplePos="0" relativeHeight="251691008" behindDoc="1" locked="0" layoutInCell="1" allowOverlap="1" wp14:anchorId="75CBFAA6" wp14:editId="2D5BB608">
              <wp:simplePos x="0" y="0"/>
              <wp:positionH relativeFrom="page">
                <wp:align>right</wp:align>
              </wp:positionH>
              <wp:positionV relativeFrom="page">
                <wp:posOffset>8825230</wp:posOffset>
              </wp:positionV>
              <wp:extent cx="2025650" cy="2025650"/>
              <wp:effectExtent l="0" t="0" r="31750" b="31750"/>
              <wp:wrapNone/>
              <wp:docPr id="3" name="Straight Connector 3"/>
              <wp:cNvGraphicFramePr/>
              <a:graphic xmlns:a="http://schemas.openxmlformats.org/drawingml/2006/main">
                <a:graphicData uri="http://schemas.microsoft.com/office/word/2010/wordprocessingShape">
                  <wps:wsp>
                    <wps:cNvCnPr/>
                    <wps:spPr>
                      <a:xfrm flipV="1">
                        <a:off x="0" y="0"/>
                        <a:ext cx="2025650" cy="2025650"/>
                      </a:xfrm>
                      <a:prstGeom prst="line">
                        <a:avLst/>
                      </a:prstGeom>
                      <a:ln w="12700" cmpd="sng">
                        <a:solidFill>
                          <a:srgbClr val="928F2B"/>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F3DEA48" id="Straight Connector 3" o:spid="_x0000_s1026" style="position:absolute;flip:y;z-index:-2516254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 from="108.3pt,694.9pt" to="267.8pt,8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" strokecolor="#928f2b" strokeweight="1pt">
              <w10:wrap anchorx="page" anchory="page"/>
            </v:line>
          </w:pict>
        </mc:Fallback>
      </mc:AlternateContent>
    </w:r>
  </w:p>
  <w:p w:rsidR="00C7221B" w:rsidRDefault="00EE6790">
    <w:pPr>
      <w:pStyle w:val="Footer"/>
      <w:framePr w:wrap="around" w:vAnchor="text" w:hAnchor="margin" w:xAlign="right" w:y="63"/>
    </w:pPr>
    <w:r>
      <w:rPr>
        <w:rStyle w:val="PageNumber"/>
      </w:rPr>
      <w:fldChar w:fldCharType="begin"/>
    </w:r>
    <w:r>
      <w:rPr>
        <w:rStyle w:val="PageNumber"/>
      </w:rPr>
      <w:instrText xml:space="preserve">PAGE  </w:instrText>
    </w:r>
    <w:r>
      <w:rPr>
        <w:rStyle w:val="PageNumber"/>
      </w:rPr>
      <w:fldChar w:fldCharType="separate"/>
    </w:r>
    <w:r w:rsidR="00020B05">
      <w:rPr>
        <w:rStyle w:val="PageNumber"/>
        <w:noProof/>
      </w:rPr>
      <w:t>4</w:t>
    </w:r>
    <w:r>
      <w:rPr>
        <w:rStyle w:val="PageNumber"/>
      </w:rPr>
      <w:fldChar w:fldCharType="end"/>
    </w:r>
  </w:p>
  <w:p w:rsidR="00C7221B" w:rsidRDefault="00EE6790">
    <w:pPr>
      <w:pStyle w:val="FooterAddress"/>
      <w:ind w:right="360"/>
      <w:rPr>
        <w:rStyle w:val="SubtleEmphasis"/>
        <w:b/>
        <w:i w:val="0"/>
        <w:color w:val="928F2B"/>
      </w:rPr>
    </w:pPr>
    <w:r>
      <w:rPr>
        <w:rStyle w:val="SubtleEmphasis"/>
        <w:b/>
        <w:i w:val="0"/>
        <w:color w:val="928F2B"/>
      </w:rPr>
      <w:t xml:space="preserve">anrows.org.au  </w:t>
    </w:r>
    <w:r>
      <w:rPr>
        <w:rStyle w:val="SubtleEmphasis"/>
        <w:b/>
        <w:i w:val="0"/>
        <w:color w:val="928F2B"/>
      </w:rPr>
      <w:tab/>
    </w:r>
    <w:r>
      <w:rPr>
        <w:rStyle w:val="SubtleEmphasis"/>
        <w:b/>
        <w:i w:val="0"/>
        <w:color w:val="928F2B"/>
      </w:rPr>
      <w:tab/>
    </w:r>
    <w:r>
      <w:rPr>
        <w:rStyle w:val="SubtleEmphasis"/>
        <w:b/>
        <w:i w:val="0"/>
        <w:color w:val="928F2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21B" w:rsidRDefault="00EE6790">
      <w:pPr>
        <w:spacing w:after="0"/>
      </w:pPr>
      <w:r>
        <w:separator/>
      </w:r>
    </w:p>
  </w:footnote>
  <w:footnote w:type="continuationSeparator" w:id="0">
    <w:p w:rsidR="00C7221B" w:rsidRDefault="00EE67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Header"/>
      <w:jc w:val="right"/>
    </w:pPr>
    <w:r>
      <w:rPr>
        <w:noProof/>
        <w:lang w:val="en-AU" w:eastAsia="en-AU"/>
      </w:rPr>
      <w:drawing>
        <wp:inline distT="0" distB="0" distL="0" distR="0" wp14:anchorId="6E98BBA6" wp14:editId="7463BB59">
          <wp:extent cx="933565" cy="13208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ANROWS:_Corp ID:logo:ANROWS Logo Anagram onl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565" cy="1320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1B" w:rsidRDefault="00EE6790">
    <w:pPr>
      <w:pStyle w:val="Header"/>
    </w:pPr>
    <w:r>
      <w:rPr>
        <w:noProof/>
        <w:lang w:val="en-AU" w:eastAsia="en-AU"/>
      </w:rPr>
      <w:drawing>
        <wp:anchor distT="0" distB="0" distL="114300" distR="114300" simplePos="0" relativeHeight="251672576" behindDoc="1" locked="0" layoutInCell="1" allowOverlap="1" wp14:anchorId="739C3976" wp14:editId="4B555F93">
          <wp:simplePos x="0" y="0"/>
          <wp:positionH relativeFrom="column">
            <wp:posOffset>-760095</wp:posOffset>
          </wp:positionH>
          <wp:positionV relativeFrom="page">
            <wp:posOffset>-28576</wp:posOffset>
          </wp:positionV>
          <wp:extent cx="7595207" cy="1072464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ANROWS:_Corp ID:print collateral:white_wall_hash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235" cy="107246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3F7A"/>
    <w:multiLevelType w:val="hybridMultilevel"/>
    <w:tmpl w:val="F7AE5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91B56"/>
    <w:multiLevelType w:val="hybridMultilevel"/>
    <w:tmpl w:val="B172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A2753"/>
    <w:multiLevelType w:val="hybridMultilevel"/>
    <w:tmpl w:val="C92E8ED8"/>
    <w:lvl w:ilvl="0" w:tplc="8984EE60">
      <w:numFmt w:val="bullet"/>
      <w:lvlText w:val="•"/>
      <w:lvlJc w:val="left"/>
      <w:pPr>
        <w:ind w:left="1080" w:hanging="72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41715"/>
    <w:multiLevelType w:val="hybridMultilevel"/>
    <w:tmpl w:val="B308DD9E"/>
    <w:lvl w:ilvl="0" w:tplc="1DFA69D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654942"/>
    <w:multiLevelType w:val="hybridMultilevel"/>
    <w:tmpl w:val="B30437F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E92100"/>
    <w:multiLevelType w:val="hybridMultilevel"/>
    <w:tmpl w:val="7C58E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59644D"/>
    <w:multiLevelType w:val="hybridMultilevel"/>
    <w:tmpl w:val="7F9E4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253CF8"/>
    <w:multiLevelType w:val="hybridMultilevel"/>
    <w:tmpl w:val="635E9C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E4B90"/>
    <w:multiLevelType w:val="hybridMultilevel"/>
    <w:tmpl w:val="2F3C923E"/>
    <w:lvl w:ilvl="0" w:tplc="CA9449EA">
      <w:start w:val="1"/>
      <w:numFmt w:val="lowerRoman"/>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 w15:restartNumberingAfterBreak="0">
    <w:nsid w:val="11163964"/>
    <w:multiLevelType w:val="hybridMultilevel"/>
    <w:tmpl w:val="03541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402AFE"/>
    <w:multiLevelType w:val="hybridMultilevel"/>
    <w:tmpl w:val="236658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1" w15:restartNumberingAfterBreak="0">
    <w:nsid w:val="22611BB7"/>
    <w:multiLevelType w:val="hybridMultilevel"/>
    <w:tmpl w:val="DDB2B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A1D67"/>
    <w:multiLevelType w:val="hybridMultilevel"/>
    <w:tmpl w:val="6C9CF63E"/>
    <w:lvl w:ilvl="0" w:tplc="E42627D4">
      <w:start w:val="1"/>
      <w:numFmt w:val="bullet"/>
      <w:pStyle w:val="ListParaL2"/>
      <w:lvlText w:val=""/>
      <w:lvlJc w:val="left"/>
      <w:pPr>
        <w:ind w:left="644" w:hanging="360"/>
      </w:pPr>
      <w:rPr>
        <w:rFonts w:ascii="Symbol" w:hAnsi="Symbol" w:hint="default"/>
        <w:b w:val="0"/>
        <w:bCs w:val="0"/>
        <w:i w:val="0"/>
        <w:iCs w:val="0"/>
        <w:color w:val="0F9BFF"/>
        <w:sz w:val="22"/>
        <w:szCs w:val="22"/>
      </w:rPr>
    </w:lvl>
    <w:lvl w:ilvl="1" w:tplc="ED7087E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7C95"/>
    <w:multiLevelType w:val="hybridMultilevel"/>
    <w:tmpl w:val="47109E94"/>
    <w:lvl w:ilvl="0" w:tplc="80329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47B51"/>
    <w:multiLevelType w:val="hybridMultilevel"/>
    <w:tmpl w:val="44747A6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5" w15:restartNumberingAfterBreak="0">
    <w:nsid w:val="2EAD5517"/>
    <w:multiLevelType w:val="hybridMultilevel"/>
    <w:tmpl w:val="3866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EA575C"/>
    <w:multiLevelType w:val="hybridMultilevel"/>
    <w:tmpl w:val="7D58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0152EB"/>
    <w:multiLevelType w:val="hybridMultilevel"/>
    <w:tmpl w:val="79505BE8"/>
    <w:lvl w:ilvl="0" w:tplc="11EAA354">
      <w:start w:val="4"/>
      <w:numFmt w:val="bullet"/>
      <w:lvlText w:val="-"/>
      <w:lvlJc w:val="left"/>
      <w:pPr>
        <w:ind w:left="720" w:hanging="360"/>
      </w:pPr>
      <w:rPr>
        <w:rFonts w:ascii="Minion Pro" w:eastAsia="Times New Roman" w:hAnsi="Minion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925D8E"/>
    <w:multiLevelType w:val="hybridMultilevel"/>
    <w:tmpl w:val="49BC191E"/>
    <w:lvl w:ilvl="0" w:tplc="F1A005BC">
      <w:numFmt w:val="bullet"/>
      <w:lvlText w:val="•"/>
      <w:lvlJc w:val="left"/>
      <w:pPr>
        <w:ind w:left="720" w:hanging="36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C76247"/>
    <w:multiLevelType w:val="hybridMultilevel"/>
    <w:tmpl w:val="F15CD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0A70A9"/>
    <w:multiLevelType w:val="hybridMultilevel"/>
    <w:tmpl w:val="91C6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81454"/>
    <w:multiLevelType w:val="hybridMultilevel"/>
    <w:tmpl w:val="258CEDA6"/>
    <w:lvl w:ilvl="0" w:tplc="8984EE60">
      <w:numFmt w:val="bullet"/>
      <w:lvlText w:val="•"/>
      <w:lvlJc w:val="left"/>
      <w:pPr>
        <w:ind w:left="1440" w:hanging="720"/>
      </w:pPr>
      <w:rPr>
        <w:rFonts w:ascii="Minion Pro" w:eastAsiaTheme="minorEastAsia" w:hAnsi="Minion Pro"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BDB5E33"/>
    <w:multiLevelType w:val="hybridMultilevel"/>
    <w:tmpl w:val="17AEEB3E"/>
    <w:lvl w:ilvl="0" w:tplc="8984EE60">
      <w:numFmt w:val="bullet"/>
      <w:lvlText w:val="•"/>
      <w:lvlJc w:val="left"/>
      <w:pPr>
        <w:ind w:left="1080" w:hanging="72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2E4D5D"/>
    <w:multiLevelType w:val="hybridMultilevel"/>
    <w:tmpl w:val="6F163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81612"/>
    <w:multiLevelType w:val="hybridMultilevel"/>
    <w:tmpl w:val="C2B2D546"/>
    <w:lvl w:ilvl="0" w:tplc="8984EE60">
      <w:numFmt w:val="bullet"/>
      <w:lvlText w:val="•"/>
      <w:lvlJc w:val="left"/>
      <w:pPr>
        <w:ind w:left="1080" w:hanging="72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C0770E"/>
    <w:multiLevelType w:val="hybridMultilevel"/>
    <w:tmpl w:val="84BA5BC0"/>
    <w:lvl w:ilvl="0" w:tplc="8984EE60">
      <w:numFmt w:val="bullet"/>
      <w:lvlText w:val="•"/>
      <w:lvlJc w:val="left"/>
      <w:pPr>
        <w:ind w:left="1080" w:hanging="72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9D71F7"/>
    <w:multiLevelType w:val="hybridMultilevel"/>
    <w:tmpl w:val="88DAB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4856F4"/>
    <w:multiLevelType w:val="hybridMultilevel"/>
    <w:tmpl w:val="4352FC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61750991"/>
    <w:multiLevelType w:val="hybridMultilevel"/>
    <w:tmpl w:val="FC981122"/>
    <w:lvl w:ilvl="0" w:tplc="ECECC21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44011"/>
    <w:multiLevelType w:val="multilevel"/>
    <w:tmpl w:val="552A98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75B5ECE"/>
    <w:multiLevelType w:val="multilevel"/>
    <w:tmpl w:val="552A98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9552637"/>
    <w:multiLevelType w:val="hybridMultilevel"/>
    <w:tmpl w:val="888CD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E6223B"/>
    <w:multiLevelType w:val="hybridMultilevel"/>
    <w:tmpl w:val="D42A09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76479A"/>
    <w:multiLevelType w:val="hybridMultilevel"/>
    <w:tmpl w:val="38C67AA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4" w15:restartNumberingAfterBreak="0">
    <w:nsid w:val="74BE7495"/>
    <w:multiLevelType w:val="hybridMultilevel"/>
    <w:tmpl w:val="B614C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A02AFE"/>
    <w:multiLevelType w:val="hybridMultilevel"/>
    <w:tmpl w:val="C85CE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A91F25"/>
    <w:multiLevelType w:val="hybridMultilevel"/>
    <w:tmpl w:val="2D8251E2"/>
    <w:lvl w:ilvl="0" w:tplc="8984EE60">
      <w:numFmt w:val="bullet"/>
      <w:lvlText w:val="•"/>
      <w:lvlJc w:val="left"/>
      <w:pPr>
        <w:ind w:left="1080" w:hanging="720"/>
      </w:pPr>
      <w:rPr>
        <w:rFonts w:ascii="Minion Pro" w:eastAsiaTheme="minorEastAsia" w:hAnsi="Minion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01156D"/>
    <w:multiLevelType w:val="hybridMultilevel"/>
    <w:tmpl w:val="5AB2C8CE"/>
    <w:lvl w:ilvl="0" w:tplc="8984EE60">
      <w:numFmt w:val="bullet"/>
      <w:lvlText w:val="•"/>
      <w:lvlJc w:val="left"/>
      <w:pPr>
        <w:ind w:left="1126" w:hanging="720"/>
      </w:pPr>
      <w:rPr>
        <w:rFonts w:ascii="Minion Pro" w:eastAsiaTheme="minorEastAsia" w:hAnsi="Minion Pro" w:cstheme="minorBidi"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abstractNumId w:val="12"/>
  </w:num>
  <w:num w:numId="2">
    <w:abstractNumId w:val="12"/>
  </w:num>
  <w:num w:numId="3">
    <w:abstractNumId w:val="13"/>
  </w:num>
  <w:num w:numId="4">
    <w:abstractNumId w:val="28"/>
  </w:num>
  <w:num w:numId="5">
    <w:abstractNumId w:val="4"/>
  </w:num>
  <w:num w:numId="6">
    <w:abstractNumId w:val="7"/>
  </w:num>
  <w:num w:numId="7">
    <w:abstractNumId w:val="29"/>
  </w:num>
  <w:num w:numId="8">
    <w:abstractNumId w:val="31"/>
  </w:num>
  <w:num w:numId="9">
    <w:abstractNumId w:val="0"/>
  </w:num>
  <w:num w:numId="10">
    <w:abstractNumId w:val="28"/>
  </w:num>
  <w:num w:numId="11">
    <w:abstractNumId w:val="26"/>
  </w:num>
  <w:num w:numId="12">
    <w:abstractNumId w:val="35"/>
  </w:num>
  <w:num w:numId="13">
    <w:abstractNumId w:val="28"/>
  </w:num>
  <w:num w:numId="14">
    <w:abstractNumId w:val="15"/>
  </w:num>
  <w:num w:numId="15">
    <w:abstractNumId w:val="33"/>
  </w:num>
  <w:num w:numId="16">
    <w:abstractNumId w:val="10"/>
  </w:num>
  <w:num w:numId="17">
    <w:abstractNumId w:val="14"/>
  </w:num>
  <w:num w:numId="18">
    <w:abstractNumId w:val="20"/>
  </w:num>
  <w:num w:numId="19">
    <w:abstractNumId w:val="30"/>
  </w:num>
  <w:num w:numId="20">
    <w:abstractNumId w:val="19"/>
  </w:num>
  <w:num w:numId="21">
    <w:abstractNumId w:val="11"/>
  </w:num>
  <w:num w:numId="22">
    <w:abstractNumId w:val="25"/>
  </w:num>
  <w:num w:numId="23">
    <w:abstractNumId w:val="34"/>
  </w:num>
  <w:num w:numId="24">
    <w:abstractNumId w:val="37"/>
  </w:num>
  <w:num w:numId="25">
    <w:abstractNumId w:val="2"/>
  </w:num>
  <w:num w:numId="26">
    <w:abstractNumId w:val="36"/>
  </w:num>
  <w:num w:numId="27">
    <w:abstractNumId w:val="1"/>
  </w:num>
  <w:num w:numId="28">
    <w:abstractNumId w:val="16"/>
  </w:num>
  <w:num w:numId="29">
    <w:abstractNumId w:val="22"/>
  </w:num>
  <w:num w:numId="30">
    <w:abstractNumId w:val="21"/>
  </w:num>
  <w:num w:numId="31">
    <w:abstractNumId w:val="17"/>
  </w:num>
  <w:num w:numId="32">
    <w:abstractNumId w:val="24"/>
  </w:num>
  <w:num w:numId="33">
    <w:abstractNumId w:val="18"/>
  </w:num>
  <w:num w:numId="34">
    <w:abstractNumId w:val="23"/>
  </w:num>
  <w:num w:numId="35">
    <w:abstractNumId w:val="27"/>
  </w:num>
  <w:num w:numId="36">
    <w:abstractNumId w:val="8"/>
  </w:num>
  <w:num w:numId="37">
    <w:abstractNumId w:val="3"/>
  </w:num>
  <w:num w:numId="38">
    <w:abstractNumId w:val="6"/>
  </w:num>
  <w:num w:numId="39">
    <w:abstractNumId w:val="9"/>
  </w:num>
  <w:num w:numId="40">
    <w:abstractNumId w:val="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82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21B"/>
    <w:rsid w:val="00020B05"/>
    <w:rsid w:val="000618A1"/>
    <w:rsid w:val="000906D2"/>
    <w:rsid w:val="0014465C"/>
    <w:rsid w:val="001A4FF7"/>
    <w:rsid w:val="001E6584"/>
    <w:rsid w:val="002F7737"/>
    <w:rsid w:val="003802C4"/>
    <w:rsid w:val="00535206"/>
    <w:rsid w:val="00547232"/>
    <w:rsid w:val="005F2447"/>
    <w:rsid w:val="00605DB8"/>
    <w:rsid w:val="00807B17"/>
    <w:rsid w:val="00954D70"/>
    <w:rsid w:val="009842CD"/>
    <w:rsid w:val="009B06FE"/>
    <w:rsid w:val="00A67796"/>
    <w:rsid w:val="00C7221B"/>
    <w:rsid w:val="00CF5B94"/>
    <w:rsid w:val="00D4189A"/>
    <w:rsid w:val="00D95552"/>
    <w:rsid w:val="00DA51A9"/>
    <w:rsid w:val="00E8337D"/>
    <w:rsid w:val="00EE6790"/>
    <w:rsid w:val="00F2207B"/>
    <w:rsid w:val="00FF11EB"/>
    <w:rsid w:val="00FF3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945"/>
    <o:shapelayout v:ext="edit">
      <o:idmap v:ext="edit" data="1"/>
    </o:shapelayout>
  </w:shapeDefaults>
  <w:decimalSymbol w:val="."/>
  <w:listSeparator w:val=","/>
  <w15:docId w15:val="{8458334D-256A-4D91-A939-97A31F8D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pPr>
    <w:rPr>
      <w:rFonts w:ascii="Minion Pro" w:hAnsi="Minion Pro"/>
      <w:sz w:val="22"/>
    </w:rPr>
  </w:style>
  <w:style w:type="paragraph" w:styleId="Heading1">
    <w:name w:val="heading 1"/>
    <w:basedOn w:val="Normal"/>
    <w:next w:val="Normal"/>
    <w:link w:val="Heading1Char"/>
    <w:uiPriority w:val="9"/>
    <w:qFormat/>
    <w:pPr>
      <w:keepNext/>
      <w:keepLines/>
      <w:spacing w:before="480" w:after="120"/>
      <w:outlineLvl w:val="0"/>
    </w:pPr>
    <w:rPr>
      <w:rFonts w:ascii="Adobe Caslon Pro" w:eastAsiaTheme="majorEastAsia" w:hAnsi="Adobe Caslon Pro" w:cstheme="majorBidi"/>
      <w:bCs/>
      <w:color w:val="908F2C"/>
      <w:sz w:val="32"/>
      <w:szCs w:val="32"/>
    </w:rPr>
  </w:style>
  <w:style w:type="paragraph" w:styleId="Heading2">
    <w:name w:val="heading 2"/>
    <w:basedOn w:val="Normal"/>
    <w:next w:val="Normal"/>
    <w:link w:val="Heading2Char"/>
    <w:uiPriority w:val="9"/>
    <w:unhideWhenUsed/>
    <w:qFormat/>
    <w:pPr>
      <w:keepNext/>
      <w:keepLines/>
      <w:spacing w:before="200" w:after="120"/>
      <w:outlineLvl w:val="1"/>
    </w:pPr>
    <w:rPr>
      <w:rFonts w:ascii="Adobe Caslon Pro" w:eastAsiaTheme="majorEastAsia" w:hAnsi="Adobe Caslon Pro" w:cstheme="majorBidi"/>
      <w:b/>
      <w:bCs/>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Adobe Caslon Pro" w:eastAsiaTheme="majorEastAsia" w:hAnsi="Adobe Caslon Pro" w:cstheme="majorBidi"/>
      <w:b/>
      <w:bCs/>
      <w:color w:val="908F2C"/>
    </w:rPr>
  </w:style>
  <w:style w:type="paragraph" w:styleId="Heading4">
    <w:name w:val="heading 4"/>
    <w:basedOn w:val="Normal"/>
    <w:next w:val="Normal"/>
    <w:link w:val="Heading4Char"/>
    <w:uiPriority w:val="9"/>
    <w:unhideWhenUsed/>
    <w:qFormat/>
    <w:pPr>
      <w:keepNext/>
      <w:keepLines/>
      <w:spacing w:before="200" w:after="0"/>
      <w:outlineLvl w:val="3"/>
    </w:pPr>
    <w:rPr>
      <w:rFonts w:ascii="Adobe Caslon Pro" w:eastAsiaTheme="majorEastAsia" w:hAnsi="Adobe Caslon Pro" w:cstheme="majorBidi"/>
      <w:b/>
      <w:bCs/>
      <w:i/>
      <w:iCs/>
      <w:color w:val="C1BB78"/>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Adobe Caslon Pro" w:eastAsiaTheme="majorEastAsia" w:hAnsi="Adobe Caslon Pro" w:cstheme="majorBidi"/>
      <w:color w:val="7F7F7F" w:themeColor="text1" w:themeTint="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dobe Caslon Pro" w:eastAsiaTheme="majorEastAsia" w:hAnsi="Adobe Caslon Pro" w:cstheme="majorBidi"/>
      <w:i/>
      <w:iCs/>
      <w:color w:val="7F7F7F" w:themeColor="text1" w:themeTint="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Adobe Caslon Pro" w:eastAsiaTheme="majorEastAsia" w:hAnsi="Adobe Caslon Pro" w:cstheme="majorBidi"/>
      <w:i/>
      <w:iCs/>
      <w:color w:val="7F7F7F" w:themeColor="text1" w:themeTint="80"/>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dobe Caslon Pro" w:eastAsiaTheme="majorEastAsia" w:hAnsi="Adobe Caslon Pro"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dobe Caslon Pro" w:eastAsiaTheme="majorEastAsia" w:hAnsi="Adobe Caslon Pro"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rPr>
      <w:rFonts w:ascii="Adobe Caslon Pro" w:hAnsi="Adobe Caslon Pro"/>
      <w:sz w:val="22"/>
    </w:rPr>
  </w:style>
  <w:style w:type="paragraph" w:customStyle="1" w:styleId="ListLevel2">
    <w:name w:val="List Level 2"/>
    <w:basedOn w:val="Normal"/>
    <w:autoRedefin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720" w:hanging="360"/>
    </w:pPr>
    <w:rPr>
      <w:rFonts w:ascii="Univers 55 Roman" w:eastAsia="ヒラギノ角ゴ Pro W3" w:hAnsi="Univers 55 Roman" w:cs="Times New Roman"/>
      <w:szCs w:val="20"/>
    </w:rPr>
  </w:style>
  <w:style w:type="paragraph" w:styleId="Footer">
    <w:name w:val="footer"/>
    <w:basedOn w:val="Normal"/>
    <w:link w:val="FooterChar"/>
    <w:uiPriority w:val="99"/>
    <w:unhideWhenUsed/>
    <w:pPr>
      <w:tabs>
        <w:tab w:val="center" w:pos="4320"/>
        <w:tab w:val="right" w:pos="8640"/>
      </w:tabs>
      <w:spacing w:after="0"/>
    </w:pPr>
  </w:style>
  <w:style w:type="paragraph" w:customStyle="1" w:styleId="ListParaL2">
    <w:name w:val="List Para L2"/>
    <w:basedOn w:val="Normal"/>
    <w:autoRedefine/>
    <w:pPr>
      <w:numPr>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pPr>
    <w:rPr>
      <w:rFonts w:ascii="Univers 55 Roman" w:eastAsia="ヒラギノ角ゴ Pro W3" w:hAnsi="Univers 55 Roman" w:cs="Times New Roman"/>
      <w:szCs w:val="20"/>
    </w:rPr>
  </w:style>
  <w:style w:type="character" w:customStyle="1" w:styleId="FooterChar">
    <w:name w:val="Footer Char"/>
    <w:basedOn w:val="DefaultParagraphFont"/>
    <w:link w:val="Footer"/>
    <w:uiPriority w:val="99"/>
    <w:rPr>
      <w:rFonts w:ascii="Adobe Caslon Pro" w:hAnsi="Adobe Caslon Pro"/>
      <w:sz w:val="22"/>
    </w:rPr>
  </w:style>
  <w:style w:type="paragraph" w:styleId="Subtitle">
    <w:name w:val="Subtitle"/>
    <w:basedOn w:val="Normal"/>
    <w:next w:val="Normal"/>
    <w:link w:val="SubtitleChar"/>
    <w:uiPriority w:val="11"/>
    <w:qFormat/>
    <w:pPr>
      <w:numPr>
        <w:ilvl w:val="1"/>
      </w:numPr>
      <w:spacing w:after="360"/>
    </w:pPr>
    <w:rPr>
      <w:rFonts w:ascii="Adobe Caslon Pro" w:eastAsiaTheme="majorEastAsia" w:hAnsi="Adobe Caslon Pro" w:cstheme="majorBidi"/>
      <w:i/>
      <w:iCs/>
      <w:color w:val="595959" w:themeColor="text1" w:themeTint="A6"/>
      <w:spacing w:val="15"/>
      <w:sz w:val="24"/>
    </w:rPr>
  </w:style>
  <w:style w:type="character" w:customStyle="1" w:styleId="SubtitleChar">
    <w:name w:val="Subtitle Char"/>
    <w:basedOn w:val="DefaultParagraphFont"/>
    <w:link w:val="Subtitle"/>
    <w:uiPriority w:val="11"/>
    <w:rPr>
      <w:rFonts w:ascii="Adobe Caslon Pro" w:eastAsiaTheme="majorEastAsia" w:hAnsi="Adobe Caslon Pro" w:cstheme="majorBidi"/>
      <w:i/>
      <w:iCs/>
      <w:color w:val="595959" w:themeColor="text1" w:themeTint="A6"/>
      <w:spacing w:val="15"/>
    </w:rPr>
  </w:style>
  <w:style w:type="paragraph" w:customStyle="1" w:styleId="FooterAddress">
    <w:name w:val="Footer Address"/>
    <w:basedOn w:val="Normal"/>
    <w:qFormat/>
    <w:pPr>
      <w:tabs>
        <w:tab w:val="center" w:pos="4320"/>
        <w:tab w:val="right" w:pos="8640"/>
      </w:tabs>
      <w:spacing w:after="0"/>
    </w:pPr>
    <w:rPr>
      <w:color w:val="7F7F7F" w:themeColor="text1" w:themeTint="80"/>
      <w:sz w:val="18"/>
    </w:rPr>
  </w:style>
  <w:style w:type="paragraph" w:styleId="BalloonText">
    <w:name w:val="Balloon Text"/>
    <w:basedOn w:val="Normal"/>
    <w:link w:val="BalloonTextChar"/>
    <w:uiPriority w:val="99"/>
    <w:semiHidden/>
    <w:unhideWhenUse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1Char">
    <w:name w:val="Heading 1 Char"/>
    <w:basedOn w:val="DefaultParagraphFont"/>
    <w:link w:val="Heading1"/>
    <w:uiPriority w:val="9"/>
    <w:rPr>
      <w:rFonts w:ascii="Adobe Caslon Pro" w:eastAsiaTheme="majorEastAsia" w:hAnsi="Adobe Caslon Pro" w:cstheme="majorBidi"/>
      <w:bCs/>
      <w:color w:val="908F2C"/>
      <w:sz w:val="32"/>
      <w:szCs w:val="32"/>
    </w:rPr>
  </w:style>
  <w:style w:type="character" w:customStyle="1" w:styleId="Heading2Char">
    <w:name w:val="Heading 2 Char"/>
    <w:basedOn w:val="DefaultParagraphFont"/>
    <w:link w:val="Heading2"/>
    <w:uiPriority w:val="9"/>
    <w:rPr>
      <w:rFonts w:ascii="Adobe Caslon Pro" w:eastAsiaTheme="majorEastAsia" w:hAnsi="Adobe Caslon Pro" w:cstheme="majorBidi"/>
      <w:b/>
      <w:bCs/>
      <w:sz w:val="26"/>
      <w:szCs w:val="26"/>
    </w:rPr>
  </w:style>
  <w:style w:type="character" w:customStyle="1" w:styleId="Heading3Char">
    <w:name w:val="Heading 3 Char"/>
    <w:basedOn w:val="DefaultParagraphFont"/>
    <w:link w:val="Heading3"/>
    <w:uiPriority w:val="9"/>
    <w:rPr>
      <w:rFonts w:ascii="Adobe Caslon Pro" w:eastAsiaTheme="majorEastAsia" w:hAnsi="Adobe Caslon Pro" w:cstheme="majorBidi"/>
      <w:b/>
      <w:bCs/>
      <w:color w:val="908F2C"/>
      <w:sz w:val="22"/>
    </w:rPr>
  </w:style>
  <w:style w:type="character" w:customStyle="1" w:styleId="Heading4Char">
    <w:name w:val="Heading 4 Char"/>
    <w:basedOn w:val="DefaultParagraphFont"/>
    <w:link w:val="Heading4"/>
    <w:uiPriority w:val="9"/>
    <w:rPr>
      <w:rFonts w:ascii="Adobe Caslon Pro" w:eastAsiaTheme="majorEastAsia" w:hAnsi="Adobe Caslon Pro" w:cstheme="majorBidi"/>
      <w:b/>
      <w:bCs/>
      <w:i/>
      <w:iCs/>
      <w:color w:val="C1BB78"/>
      <w:sz w:val="22"/>
    </w:rPr>
  </w:style>
  <w:style w:type="character" w:customStyle="1" w:styleId="Heading5Char">
    <w:name w:val="Heading 5 Char"/>
    <w:basedOn w:val="DefaultParagraphFont"/>
    <w:link w:val="Heading5"/>
    <w:uiPriority w:val="9"/>
    <w:semiHidden/>
    <w:rPr>
      <w:rFonts w:ascii="Adobe Caslon Pro" w:eastAsiaTheme="majorEastAsia" w:hAnsi="Adobe Caslon Pro" w:cstheme="majorBidi"/>
      <w:color w:val="7F7F7F" w:themeColor="text1" w:themeTint="80"/>
      <w:sz w:val="22"/>
    </w:rPr>
  </w:style>
  <w:style w:type="character" w:customStyle="1" w:styleId="Heading6Char">
    <w:name w:val="Heading 6 Char"/>
    <w:basedOn w:val="DefaultParagraphFont"/>
    <w:link w:val="Heading6"/>
    <w:uiPriority w:val="9"/>
    <w:semiHidden/>
    <w:rPr>
      <w:rFonts w:ascii="Adobe Caslon Pro" w:eastAsiaTheme="majorEastAsia" w:hAnsi="Adobe Caslon Pro" w:cstheme="majorBidi"/>
      <w:i/>
      <w:iCs/>
      <w:color w:val="7F7F7F" w:themeColor="text1" w:themeTint="80"/>
      <w:sz w:val="22"/>
    </w:rPr>
  </w:style>
  <w:style w:type="character" w:customStyle="1" w:styleId="Heading7Char">
    <w:name w:val="Heading 7 Char"/>
    <w:basedOn w:val="DefaultParagraphFont"/>
    <w:link w:val="Heading7"/>
    <w:uiPriority w:val="9"/>
    <w:semiHidden/>
    <w:rPr>
      <w:rFonts w:ascii="Adobe Caslon Pro" w:eastAsiaTheme="majorEastAsia" w:hAnsi="Adobe Caslon Pro" w:cstheme="majorBidi"/>
      <w:i/>
      <w:iCs/>
      <w:color w:val="7F7F7F" w:themeColor="text1" w:themeTint="80"/>
      <w:sz w:val="22"/>
    </w:rPr>
  </w:style>
  <w:style w:type="character" w:customStyle="1" w:styleId="Heading8Char">
    <w:name w:val="Heading 8 Char"/>
    <w:basedOn w:val="DefaultParagraphFont"/>
    <w:link w:val="Heading8"/>
    <w:uiPriority w:val="9"/>
    <w:semiHidden/>
    <w:rPr>
      <w:rFonts w:ascii="Adobe Caslon Pro" w:eastAsiaTheme="majorEastAsia" w:hAnsi="Adobe Caslon Pro"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Adobe Caslon Pro" w:eastAsiaTheme="majorEastAsia" w:hAnsi="Adobe Caslon Pro" w:cstheme="majorBidi"/>
      <w:i/>
      <w:iCs/>
      <w:color w:val="404040" w:themeColor="text1" w:themeTint="BF"/>
      <w:sz w:val="20"/>
      <w:szCs w:val="20"/>
    </w:rPr>
  </w:style>
  <w:style w:type="paragraph" w:styleId="Caption">
    <w:name w:val="caption"/>
    <w:basedOn w:val="Normal"/>
    <w:next w:val="Normal"/>
    <w:uiPriority w:val="35"/>
    <w:semiHidden/>
    <w:unhideWhenUsed/>
    <w:qFormat/>
    <w:pPr>
      <w:spacing w:after="200"/>
    </w:pPr>
    <w:rPr>
      <w:b/>
      <w:bCs/>
      <w:color w:val="7F7F7F" w:themeColor="text1" w:themeTint="80"/>
      <w:sz w:val="18"/>
      <w:szCs w:val="18"/>
    </w:rPr>
  </w:style>
  <w:style w:type="paragraph" w:styleId="Title">
    <w:name w:val="Title"/>
    <w:basedOn w:val="Normal"/>
    <w:next w:val="Normal"/>
    <w:link w:val="TitleChar"/>
    <w:uiPriority w:val="10"/>
    <w:qFormat/>
    <w:pPr>
      <w:pBdr>
        <w:bottom w:val="single" w:sz="8" w:space="4" w:color="928F2B"/>
      </w:pBdr>
      <w:spacing w:after="120"/>
      <w:contextualSpacing/>
    </w:pPr>
    <w:rPr>
      <w:rFonts w:ascii="Adobe Caslon Pro" w:eastAsiaTheme="majorEastAsia" w:hAnsi="Adobe Caslon Pro" w:cstheme="majorBidi"/>
      <w:color w:val="908F2C"/>
      <w:spacing w:val="5"/>
      <w:kern w:val="28"/>
      <w:sz w:val="52"/>
      <w:szCs w:val="52"/>
    </w:rPr>
  </w:style>
  <w:style w:type="character" w:customStyle="1" w:styleId="TitleChar">
    <w:name w:val="Title Char"/>
    <w:basedOn w:val="DefaultParagraphFont"/>
    <w:link w:val="Title"/>
    <w:uiPriority w:val="10"/>
    <w:rPr>
      <w:rFonts w:ascii="Adobe Caslon Pro" w:eastAsiaTheme="majorEastAsia" w:hAnsi="Adobe Caslon Pro" w:cstheme="majorBidi"/>
      <w:color w:val="908F2C"/>
      <w:spacing w:val="5"/>
      <w:kern w:val="28"/>
      <w:sz w:val="52"/>
      <w:szCs w:val="52"/>
    </w:rPr>
  </w:style>
  <w:style w:type="paragraph" w:styleId="Quote">
    <w:name w:val="Quote"/>
    <w:basedOn w:val="Normal"/>
    <w:next w:val="Normal"/>
    <w:link w:val="QuoteChar"/>
    <w:uiPriority w:val="29"/>
    <w:qFormat/>
    <w:rPr>
      <w:rFonts w:ascii="Adobe Caslon Pro" w:hAnsi="Adobe Caslon Pro"/>
      <w:i/>
      <w:iCs/>
      <w:color w:val="000000" w:themeColor="text1"/>
    </w:rPr>
  </w:style>
  <w:style w:type="character" w:customStyle="1" w:styleId="QuoteChar">
    <w:name w:val="Quote Char"/>
    <w:basedOn w:val="DefaultParagraphFont"/>
    <w:link w:val="Quote"/>
    <w:uiPriority w:val="29"/>
    <w:rPr>
      <w:rFonts w:ascii="Adobe Caslon Pro" w:hAnsi="Adobe Caslon Pro"/>
      <w:i/>
      <w:iCs/>
      <w:color w:val="000000" w:themeColor="text1"/>
      <w:sz w:val="22"/>
    </w:rPr>
  </w:style>
  <w:style w:type="paragraph" w:styleId="IntenseQuote">
    <w:name w:val="Intense Quote"/>
    <w:basedOn w:val="Normal"/>
    <w:next w:val="Normal"/>
    <w:link w:val="IntenseQuoteChar"/>
    <w:uiPriority w:val="30"/>
    <w:qFormat/>
    <w:pPr>
      <w:pBdr>
        <w:bottom w:val="single" w:sz="4" w:space="4" w:color="928F2B"/>
      </w:pBdr>
      <w:spacing w:before="200" w:after="280"/>
      <w:ind w:left="936" w:right="936"/>
    </w:pPr>
    <w:rPr>
      <w:rFonts w:ascii="Adobe Caslon Pro" w:hAnsi="Adobe Caslon Pro"/>
      <w:b/>
      <w:bCs/>
      <w:i/>
      <w:iCs/>
      <w:color w:val="908F2C"/>
    </w:rPr>
  </w:style>
  <w:style w:type="character" w:customStyle="1" w:styleId="IntenseQuoteChar">
    <w:name w:val="Intense Quote Char"/>
    <w:basedOn w:val="DefaultParagraphFont"/>
    <w:link w:val="IntenseQuote"/>
    <w:uiPriority w:val="30"/>
    <w:rPr>
      <w:rFonts w:ascii="Adobe Caslon Pro" w:hAnsi="Adobe Caslon Pro"/>
      <w:b/>
      <w:bCs/>
      <w:i/>
      <w:iCs/>
      <w:color w:val="908F2C"/>
      <w:sz w:val="22"/>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908F2C"/>
    </w:rPr>
  </w:style>
  <w:style w:type="character" w:styleId="SubtleReference">
    <w:name w:val="Subtle Reference"/>
    <w:basedOn w:val="DefaultParagraphFont"/>
    <w:uiPriority w:val="31"/>
    <w:qFormat/>
    <w:rPr>
      <w:smallCaps/>
      <w:color w:val="908F2C"/>
      <w:u w:val="single"/>
    </w:rPr>
  </w:style>
  <w:style w:type="character" w:styleId="IntenseReference">
    <w:name w:val="Intense Reference"/>
    <w:basedOn w:val="DefaultParagraphFont"/>
    <w:uiPriority w:val="32"/>
    <w:qFormat/>
    <w:rPr>
      <w:b/>
      <w:bCs/>
      <w:smallCaps/>
      <w:color w:val="908F2C"/>
      <w:spacing w:val="5"/>
      <w:u w:val="single"/>
    </w:rPr>
  </w:style>
  <w:style w:type="character" w:styleId="BookTitle">
    <w:name w:val="Book Title"/>
    <w:basedOn w:val="DefaultParagraphFont"/>
    <w:uiPriority w:val="33"/>
    <w:qFormat/>
    <w:rPr>
      <w:b/>
      <w:bCs/>
      <w:smallCaps/>
      <w:color w:val="595959" w:themeColor="text1" w:themeTint="A6"/>
      <w:spacing w:val="5"/>
    </w:rPr>
  </w:style>
  <w:style w:type="paragraph" w:styleId="TOCHeading">
    <w:name w:val="TOC Heading"/>
    <w:basedOn w:val="Heading1"/>
    <w:next w:val="Normal"/>
    <w:uiPriority w:val="39"/>
    <w:unhideWhenUsed/>
    <w:qFormat/>
    <w:pPr>
      <w:outlineLvl w:val="9"/>
    </w:pPr>
    <w:rPr>
      <w:rFonts w:ascii="Minion Pro" w:hAnsi="Minion Pro"/>
      <w:b/>
      <w:sz w:val="40"/>
    </w:rPr>
  </w:style>
  <w:style w:type="character" w:styleId="PageNumber">
    <w:name w:val="page number"/>
    <w:basedOn w:val="DefaultParagraphFont"/>
    <w:uiPriority w:val="99"/>
    <w:semiHidden/>
    <w:unhideWhenUsed/>
  </w:style>
  <w:style w:type="paragraph" w:styleId="ListParagraph">
    <w:name w:val="List Paragraph"/>
    <w:basedOn w:val="Normal"/>
    <w:uiPriority w:val="34"/>
    <w:qFormat/>
    <w:pPr>
      <w:numPr>
        <w:numId w:val="13"/>
      </w:numPr>
      <w:contextualSpacing/>
    </w:pPr>
  </w:style>
  <w:style w:type="paragraph" w:customStyle="1" w:styleId="DocumentTitle">
    <w:name w:val="Document Title"/>
    <w:basedOn w:val="Title"/>
    <w:qFormat/>
    <w:pPr>
      <w:pBdr>
        <w:bottom w:val="none" w:sz="0" w:space="0" w:color="auto"/>
      </w:pBdr>
      <w:spacing w:after="0"/>
      <w:ind w:left="1191"/>
    </w:pPr>
    <w:rPr>
      <w:rFonts w:ascii="Minion Pro" w:hAnsi="Minion Pro"/>
      <w:caps/>
      <w:sz w:val="36"/>
      <w:szCs w:val="3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1"/>
    <w:qFormat/>
    <w:rPr>
      <w:rFonts w:ascii="Adobe Caslon Pro" w:hAnsi="Adobe Caslon Pro"/>
      <w:sz w:val="22"/>
    </w:rPr>
  </w:style>
  <w:style w:type="paragraph" w:customStyle="1" w:styleId="Picturecaptions">
    <w:name w:val="Picture captions"/>
    <w:basedOn w:val="NoSpacing"/>
    <w:qFormat/>
    <w:pPr>
      <w:jc w:val="center"/>
    </w:pPr>
    <w:rPr>
      <w:i/>
      <w:color w:val="F2F2F2" w:themeColor="background1" w:themeShade="F2"/>
    </w:rPr>
  </w:style>
  <w:style w:type="paragraph" w:styleId="TOC1">
    <w:name w:val="toc 1"/>
    <w:basedOn w:val="Normal"/>
    <w:next w:val="Normal"/>
    <w:autoRedefine/>
    <w:uiPriority w:val="39"/>
    <w:unhideWhenUsed/>
    <w:pPr>
      <w:spacing w:before="120" w:after="0"/>
    </w:pPr>
    <w:rPr>
      <w:rFonts w:asciiTheme="minorHAnsi" w:hAnsiTheme="minorHAnsi"/>
      <w:b/>
      <w:sz w:val="24"/>
    </w:rPr>
  </w:style>
  <w:style w:type="paragraph" w:styleId="TOC2">
    <w:name w:val="toc 2"/>
    <w:basedOn w:val="Normal"/>
    <w:next w:val="Normal"/>
    <w:autoRedefine/>
    <w:uiPriority w:val="39"/>
    <w:unhideWhenUsed/>
    <w:pPr>
      <w:spacing w:after="0"/>
      <w:ind w:left="220"/>
    </w:pPr>
    <w:rPr>
      <w:rFonts w:asciiTheme="minorHAnsi" w:hAnsiTheme="minorHAnsi"/>
      <w:b/>
      <w:szCs w:val="22"/>
    </w:rPr>
  </w:style>
  <w:style w:type="paragraph" w:styleId="TOC3">
    <w:name w:val="toc 3"/>
    <w:basedOn w:val="Normal"/>
    <w:next w:val="Normal"/>
    <w:autoRedefine/>
    <w:uiPriority w:val="39"/>
    <w:unhideWhenUsed/>
    <w:pPr>
      <w:spacing w:after="0"/>
      <w:ind w:left="440"/>
    </w:pPr>
    <w:rPr>
      <w:rFonts w:asciiTheme="minorHAnsi" w:hAnsiTheme="minorHAnsi"/>
      <w:szCs w:val="22"/>
    </w:rPr>
  </w:style>
  <w:style w:type="paragraph" w:styleId="TOC4">
    <w:name w:val="toc 4"/>
    <w:basedOn w:val="Normal"/>
    <w:next w:val="Normal"/>
    <w:autoRedefine/>
    <w:uiPriority w:val="39"/>
    <w:unhideWhenUsed/>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DocumentType">
    <w:name w:val="Document Type"/>
    <w:basedOn w:val="Heading1"/>
    <w:qFormat/>
    <w:rPr>
      <w:rFonts w:ascii="Adobe Caslon Pro Bold" w:hAnsi="Adobe Caslon Pro Bold"/>
      <w:b/>
      <w:caps/>
      <w:color w:val="F2F2F2" w:themeColor="background1" w:themeShade="F2"/>
      <w:sz w:val="36"/>
      <w:szCs w:val="36"/>
    </w:rPr>
  </w:style>
  <w:style w:type="paragraph" w:customStyle="1" w:styleId="CoverSubheading">
    <w:name w:val="Cover Subheading"/>
    <w:basedOn w:val="Heading1"/>
    <w:qFormat/>
    <w:rPr>
      <w:rFonts w:ascii="Minion Pro" w:hAnsi="Minion Pro"/>
    </w:rPr>
  </w:style>
  <w:style w:type="paragraph" w:customStyle="1" w:styleId="CoverSub-subheading">
    <w:name w:val="Cover Sub-subheading"/>
    <w:basedOn w:val="Heading2"/>
    <w:qFormat/>
    <w:rPr>
      <w:rFonts w:ascii="Minion Pro" w:hAnsi="Minion Pro"/>
    </w:rPr>
  </w:style>
  <w:style w:type="character" w:styleId="Hyperlink">
    <w:name w:val="Hyperlink"/>
    <w:basedOn w:val="DefaultParagraphFont"/>
    <w:uiPriority w:val="99"/>
    <w:unhideWhenUsed/>
    <w:rPr>
      <w:color w:val="0000FF" w:themeColor="hyperlink"/>
      <w:u w:val="single"/>
    </w:rPr>
  </w:style>
  <w:style w:type="paragraph" w:customStyle="1" w:styleId="CoverTitle">
    <w:name w:val="Cover Title"/>
    <w:basedOn w:val="Title"/>
    <w:qFormat/>
    <w:rPr>
      <w:rFonts w:ascii="Minion Pro" w:hAnsi="Minion Pro"/>
    </w:r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Minion Pro" w:hAnsi="Minion Pro"/>
      <w:sz w:val="20"/>
      <w:szCs w:val="20"/>
    </w:rPr>
  </w:style>
  <w:style w:type="character" w:styleId="FootnoteReference">
    <w:name w:val="footnote reference"/>
    <w:basedOn w:val="DefaultParagraphFont"/>
    <w:uiPriority w:val="99"/>
    <w:semiHidden/>
    <w:unhideWhenUsed/>
    <w:rPr>
      <w:vertAlign w:val="superscript"/>
    </w:rPr>
  </w:style>
  <w:style w:type="paragraph" w:styleId="BodyText3">
    <w:name w:val="Body Text 3"/>
    <w:basedOn w:val="Normal"/>
    <w:link w:val="BodyText3Char"/>
    <w:pPr>
      <w:spacing w:before="240" w:after="0"/>
      <w:ind w:left="1418"/>
    </w:pPr>
    <w:rPr>
      <w:rFonts w:ascii="Arial" w:eastAsia="Times New Roman" w:hAnsi="Arial" w:cs="Times New Roman"/>
      <w:sz w:val="20"/>
      <w:szCs w:val="20"/>
      <w:lang w:val="en-AU"/>
    </w:rPr>
  </w:style>
  <w:style w:type="character" w:customStyle="1" w:styleId="BodyText3Char">
    <w:name w:val="Body Text 3 Char"/>
    <w:basedOn w:val="DefaultParagraphFont"/>
    <w:link w:val="BodyText3"/>
    <w:rPr>
      <w:rFonts w:ascii="Arial" w:eastAsia="Times New Roman" w:hAnsi="Arial" w:cs="Times New Roman"/>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Pr>
      <w:rFonts w:eastAsiaTheme="minorHAnsi"/>
      <w:sz w:val="20"/>
      <w:szCs w:val="20"/>
      <w:lang w:val="en-AU"/>
    </w:rPr>
  </w:style>
  <w:style w:type="paragraph" w:customStyle="1" w:styleId="AIHWbodytext">
    <w:name w:val="AIHW body text"/>
    <w:basedOn w:val="Normal"/>
    <w:link w:val="AIHWbodytextChar"/>
    <w:qFormat/>
    <w:pPr>
      <w:spacing w:before="60" w:after="120" w:line="260" w:lineRule="atLeast"/>
    </w:pPr>
    <w:rPr>
      <w:rFonts w:ascii="Book Antiqua" w:eastAsia="Times New Roman" w:hAnsi="Book Antiqua" w:cs="Times New Roman"/>
      <w:szCs w:val="20"/>
      <w:lang w:val="en-AU"/>
    </w:rPr>
  </w:style>
  <w:style w:type="character" w:customStyle="1" w:styleId="AIHWbodytextChar">
    <w:name w:val="AIHW body text Char"/>
    <w:link w:val="AIHWbodytext"/>
    <w:locked/>
    <w:rPr>
      <w:rFonts w:ascii="Book Antiqua" w:eastAsia="Times New Roman" w:hAnsi="Book Antiqua" w:cs="Times New Roman"/>
      <w:sz w:val="22"/>
      <w:szCs w:val="20"/>
      <w:lang w:val="en-AU"/>
    </w:rPr>
  </w:style>
  <w:style w:type="paragraph" w:styleId="CommentSubject">
    <w:name w:val="annotation subject"/>
    <w:basedOn w:val="CommentText"/>
    <w:next w:val="CommentText"/>
    <w:link w:val="CommentSubjectChar"/>
    <w:uiPriority w:val="99"/>
    <w:semiHidden/>
    <w:unhideWhenUsed/>
    <w:pPr>
      <w:spacing w:after="240"/>
    </w:pPr>
    <w:rPr>
      <w:rFonts w:ascii="Minion Pro" w:eastAsiaTheme="minorEastAsia" w:hAnsi="Minion Pro"/>
      <w:b/>
      <w:bCs/>
      <w:lang w:val="en-US"/>
    </w:rPr>
  </w:style>
  <w:style w:type="character" w:customStyle="1" w:styleId="CommentSubjectChar">
    <w:name w:val="Comment Subject Char"/>
    <w:basedOn w:val="CommentTextChar"/>
    <w:link w:val="CommentSubject"/>
    <w:uiPriority w:val="99"/>
    <w:semiHidden/>
    <w:rPr>
      <w:rFonts w:ascii="Minion Pro" w:eastAsiaTheme="minorHAnsi" w:hAnsi="Minion Pro"/>
      <w:b/>
      <w:bCs/>
      <w:sz w:val="20"/>
      <w:szCs w:val="20"/>
      <w:lang w:val="en-AU"/>
    </w:rPr>
  </w:style>
  <w:style w:type="paragraph" w:customStyle="1" w:styleId="BodyText1">
    <w:name w:val="Body Text1"/>
    <w:qFormat/>
    <w:pPr>
      <w:spacing w:after="200"/>
    </w:pPr>
    <w:rPr>
      <w:rFonts w:eastAsiaTheme="minorHAnsi"/>
      <w:sz w:val="22"/>
      <w:lang w:val="en-AU"/>
    </w:rPr>
  </w:style>
  <w:style w:type="character" w:customStyle="1" w:styleId="apple-style-span">
    <w:name w:val="apple-style-span"/>
    <w:basedOn w:val="DefaultParagraphFont"/>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lang w:val="en-AU" w:eastAsia="en-AU"/>
    </w:rPr>
  </w:style>
  <w:style w:type="paragraph" w:customStyle="1" w:styleId="Itemindent">
    <w:name w:val="Item indent"/>
    <w:basedOn w:val="Normal"/>
    <w:uiPriority w:val="3"/>
    <w:qFormat/>
    <w:pPr>
      <w:spacing w:before="120" w:after="120" w:line="280" w:lineRule="atLeast"/>
      <w:ind w:left="1134"/>
    </w:pPr>
    <w:rPr>
      <w:rFonts w:ascii="Arial" w:eastAsia="Times New Roman" w:hAnsi="Arial" w:cs="Times New Roman"/>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9538">
      <w:bodyDiv w:val="1"/>
      <w:marLeft w:val="0"/>
      <w:marRight w:val="0"/>
      <w:marTop w:val="0"/>
      <w:marBottom w:val="0"/>
      <w:divBdr>
        <w:top w:val="none" w:sz="0" w:space="0" w:color="auto"/>
        <w:left w:val="none" w:sz="0" w:space="0" w:color="auto"/>
        <w:bottom w:val="none" w:sz="0" w:space="0" w:color="auto"/>
        <w:right w:val="none" w:sz="0" w:space="0" w:color="auto"/>
      </w:divBdr>
    </w:div>
    <w:div w:id="98112638">
      <w:bodyDiv w:val="1"/>
      <w:marLeft w:val="0"/>
      <w:marRight w:val="0"/>
      <w:marTop w:val="0"/>
      <w:marBottom w:val="0"/>
      <w:divBdr>
        <w:top w:val="none" w:sz="0" w:space="0" w:color="auto"/>
        <w:left w:val="none" w:sz="0" w:space="0" w:color="auto"/>
        <w:bottom w:val="none" w:sz="0" w:space="0" w:color="auto"/>
        <w:right w:val="none" w:sz="0" w:space="0" w:color="auto"/>
      </w:divBdr>
      <w:divsChild>
        <w:div w:id="1692023515">
          <w:marLeft w:val="0"/>
          <w:marRight w:val="0"/>
          <w:marTop w:val="0"/>
          <w:marBottom w:val="0"/>
          <w:divBdr>
            <w:top w:val="none" w:sz="0" w:space="0" w:color="auto"/>
            <w:left w:val="none" w:sz="0" w:space="0" w:color="auto"/>
            <w:bottom w:val="none" w:sz="0" w:space="0" w:color="auto"/>
            <w:right w:val="none" w:sz="0" w:space="0" w:color="auto"/>
          </w:divBdr>
          <w:divsChild>
            <w:div w:id="1449739702">
              <w:marLeft w:val="0"/>
              <w:marRight w:val="0"/>
              <w:marTop w:val="0"/>
              <w:marBottom w:val="0"/>
              <w:divBdr>
                <w:top w:val="none" w:sz="0" w:space="0" w:color="auto"/>
                <w:left w:val="none" w:sz="0" w:space="0" w:color="auto"/>
                <w:bottom w:val="none" w:sz="0" w:space="0" w:color="auto"/>
                <w:right w:val="none" w:sz="0" w:space="0" w:color="auto"/>
              </w:divBdr>
              <w:divsChild>
                <w:div w:id="1177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371">
      <w:bodyDiv w:val="1"/>
      <w:marLeft w:val="0"/>
      <w:marRight w:val="0"/>
      <w:marTop w:val="0"/>
      <w:marBottom w:val="0"/>
      <w:divBdr>
        <w:top w:val="none" w:sz="0" w:space="0" w:color="auto"/>
        <w:left w:val="none" w:sz="0" w:space="0" w:color="auto"/>
        <w:bottom w:val="none" w:sz="0" w:space="0" w:color="auto"/>
        <w:right w:val="none" w:sz="0" w:space="0" w:color="auto"/>
      </w:divBdr>
    </w:div>
    <w:div w:id="286935061">
      <w:bodyDiv w:val="1"/>
      <w:marLeft w:val="0"/>
      <w:marRight w:val="0"/>
      <w:marTop w:val="0"/>
      <w:marBottom w:val="0"/>
      <w:divBdr>
        <w:top w:val="none" w:sz="0" w:space="0" w:color="auto"/>
        <w:left w:val="none" w:sz="0" w:space="0" w:color="auto"/>
        <w:bottom w:val="none" w:sz="0" w:space="0" w:color="auto"/>
        <w:right w:val="none" w:sz="0" w:space="0" w:color="auto"/>
      </w:divBdr>
      <w:divsChild>
        <w:div w:id="2135632462">
          <w:marLeft w:val="0"/>
          <w:marRight w:val="0"/>
          <w:marTop w:val="0"/>
          <w:marBottom w:val="0"/>
          <w:divBdr>
            <w:top w:val="none" w:sz="0" w:space="0" w:color="auto"/>
            <w:left w:val="none" w:sz="0" w:space="0" w:color="auto"/>
            <w:bottom w:val="none" w:sz="0" w:space="0" w:color="auto"/>
            <w:right w:val="none" w:sz="0" w:space="0" w:color="auto"/>
          </w:divBdr>
          <w:divsChild>
            <w:div w:id="1617905379">
              <w:marLeft w:val="0"/>
              <w:marRight w:val="0"/>
              <w:marTop w:val="0"/>
              <w:marBottom w:val="0"/>
              <w:divBdr>
                <w:top w:val="none" w:sz="0" w:space="0" w:color="auto"/>
                <w:left w:val="none" w:sz="0" w:space="0" w:color="auto"/>
                <w:bottom w:val="none" w:sz="0" w:space="0" w:color="auto"/>
                <w:right w:val="none" w:sz="0" w:space="0" w:color="auto"/>
              </w:divBdr>
              <w:divsChild>
                <w:div w:id="1886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23976">
      <w:bodyDiv w:val="1"/>
      <w:marLeft w:val="0"/>
      <w:marRight w:val="0"/>
      <w:marTop w:val="0"/>
      <w:marBottom w:val="0"/>
      <w:divBdr>
        <w:top w:val="none" w:sz="0" w:space="0" w:color="auto"/>
        <w:left w:val="none" w:sz="0" w:space="0" w:color="auto"/>
        <w:bottom w:val="none" w:sz="0" w:space="0" w:color="auto"/>
        <w:right w:val="none" w:sz="0" w:space="0" w:color="auto"/>
      </w:divBdr>
      <w:divsChild>
        <w:div w:id="723675054">
          <w:marLeft w:val="0"/>
          <w:marRight w:val="0"/>
          <w:marTop w:val="0"/>
          <w:marBottom w:val="0"/>
          <w:divBdr>
            <w:top w:val="none" w:sz="0" w:space="0" w:color="auto"/>
            <w:left w:val="none" w:sz="0" w:space="0" w:color="auto"/>
            <w:bottom w:val="none" w:sz="0" w:space="0" w:color="auto"/>
            <w:right w:val="none" w:sz="0" w:space="0" w:color="auto"/>
          </w:divBdr>
          <w:divsChild>
            <w:div w:id="67307999">
              <w:marLeft w:val="0"/>
              <w:marRight w:val="0"/>
              <w:marTop w:val="0"/>
              <w:marBottom w:val="0"/>
              <w:divBdr>
                <w:top w:val="none" w:sz="0" w:space="0" w:color="auto"/>
                <w:left w:val="none" w:sz="0" w:space="0" w:color="auto"/>
                <w:bottom w:val="none" w:sz="0" w:space="0" w:color="auto"/>
                <w:right w:val="none" w:sz="0" w:space="0" w:color="auto"/>
              </w:divBdr>
              <w:divsChild>
                <w:div w:id="10582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7882">
      <w:bodyDiv w:val="1"/>
      <w:marLeft w:val="0"/>
      <w:marRight w:val="0"/>
      <w:marTop w:val="0"/>
      <w:marBottom w:val="0"/>
      <w:divBdr>
        <w:top w:val="none" w:sz="0" w:space="0" w:color="auto"/>
        <w:left w:val="none" w:sz="0" w:space="0" w:color="auto"/>
        <w:bottom w:val="none" w:sz="0" w:space="0" w:color="auto"/>
        <w:right w:val="none" w:sz="0" w:space="0" w:color="auto"/>
      </w:divBdr>
      <w:divsChild>
        <w:div w:id="1457800064">
          <w:marLeft w:val="0"/>
          <w:marRight w:val="0"/>
          <w:marTop w:val="0"/>
          <w:marBottom w:val="0"/>
          <w:divBdr>
            <w:top w:val="none" w:sz="0" w:space="0" w:color="auto"/>
            <w:left w:val="none" w:sz="0" w:space="0" w:color="auto"/>
            <w:bottom w:val="none" w:sz="0" w:space="0" w:color="auto"/>
            <w:right w:val="none" w:sz="0" w:space="0" w:color="auto"/>
          </w:divBdr>
          <w:divsChild>
            <w:div w:id="1686320194">
              <w:marLeft w:val="0"/>
              <w:marRight w:val="0"/>
              <w:marTop w:val="0"/>
              <w:marBottom w:val="0"/>
              <w:divBdr>
                <w:top w:val="none" w:sz="0" w:space="0" w:color="auto"/>
                <w:left w:val="none" w:sz="0" w:space="0" w:color="auto"/>
                <w:bottom w:val="none" w:sz="0" w:space="0" w:color="auto"/>
                <w:right w:val="none" w:sz="0" w:space="0" w:color="auto"/>
              </w:divBdr>
              <w:divsChild>
                <w:div w:id="10375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5967">
      <w:bodyDiv w:val="1"/>
      <w:marLeft w:val="0"/>
      <w:marRight w:val="0"/>
      <w:marTop w:val="0"/>
      <w:marBottom w:val="0"/>
      <w:divBdr>
        <w:top w:val="none" w:sz="0" w:space="0" w:color="auto"/>
        <w:left w:val="none" w:sz="0" w:space="0" w:color="auto"/>
        <w:bottom w:val="none" w:sz="0" w:space="0" w:color="auto"/>
        <w:right w:val="none" w:sz="0" w:space="0" w:color="auto"/>
      </w:divBdr>
      <w:divsChild>
        <w:div w:id="809401707">
          <w:marLeft w:val="0"/>
          <w:marRight w:val="0"/>
          <w:marTop w:val="0"/>
          <w:marBottom w:val="0"/>
          <w:divBdr>
            <w:top w:val="none" w:sz="0" w:space="0" w:color="auto"/>
            <w:left w:val="none" w:sz="0" w:space="0" w:color="auto"/>
            <w:bottom w:val="none" w:sz="0" w:space="0" w:color="auto"/>
            <w:right w:val="none" w:sz="0" w:space="0" w:color="auto"/>
          </w:divBdr>
          <w:divsChild>
            <w:div w:id="602617594">
              <w:marLeft w:val="0"/>
              <w:marRight w:val="0"/>
              <w:marTop w:val="0"/>
              <w:marBottom w:val="0"/>
              <w:divBdr>
                <w:top w:val="none" w:sz="0" w:space="0" w:color="auto"/>
                <w:left w:val="none" w:sz="0" w:space="0" w:color="auto"/>
                <w:bottom w:val="none" w:sz="0" w:space="0" w:color="auto"/>
                <w:right w:val="none" w:sz="0" w:space="0" w:color="auto"/>
              </w:divBdr>
              <w:divsChild>
                <w:div w:id="9204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65159">
      <w:bodyDiv w:val="1"/>
      <w:marLeft w:val="0"/>
      <w:marRight w:val="0"/>
      <w:marTop w:val="0"/>
      <w:marBottom w:val="0"/>
      <w:divBdr>
        <w:top w:val="none" w:sz="0" w:space="0" w:color="auto"/>
        <w:left w:val="none" w:sz="0" w:space="0" w:color="auto"/>
        <w:bottom w:val="none" w:sz="0" w:space="0" w:color="auto"/>
        <w:right w:val="none" w:sz="0" w:space="0" w:color="auto"/>
      </w:divBdr>
    </w:div>
    <w:div w:id="739252799">
      <w:bodyDiv w:val="1"/>
      <w:marLeft w:val="0"/>
      <w:marRight w:val="0"/>
      <w:marTop w:val="0"/>
      <w:marBottom w:val="0"/>
      <w:divBdr>
        <w:top w:val="none" w:sz="0" w:space="0" w:color="auto"/>
        <w:left w:val="none" w:sz="0" w:space="0" w:color="auto"/>
        <w:bottom w:val="none" w:sz="0" w:space="0" w:color="auto"/>
        <w:right w:val="none" w:sz="0" w:space="0" w:color="auto"/>
      </w:divBdr>
    </w:div>
    <w:div w:id="794181931">
      <w:bodyDiv w:val="1"/>
      <w:marLeft w:val="0"/>
      <w:marRight w:val="0"/>
      <w:marTop w:val="0"/>
      <w:marBottom w:val="0"/>
      <w:divBdr>
        <w:top w:val="none" w:sz="0" w:space="0" w:color="auto"/>
        <w:left w:val="none" w:sz="0" w:space="0" w:color="auto"/>
        <w:bottom w:val="none" w:sz="0" w:space="0" w:color="auto"/>
        <w:right w:val="none" w:sz="0" w:space="0" w:color="auto"/>
      </w:divBdr>
    </w:div>
    <w:div w:id="1165634326">
      <w:bodyDiv w:val="1"/>
      <w:marLeft w:val="0"/>
      <w:marRight w:val="0"/>
      <w:marTop w:val="0"/>
      <w:marBottom w:val="0"/>
      <w:divBdr>
        <w:top w:val="none" w:sz="0" w:space="0" w:color="auto"/>
        <w:left w:val="none" w:sz="0" w:space="0" w:color="auto"/>
        <w:bottom w:val="none" w:sz="0" w:space="0" w:color="auto"/>
        <w:right w:val="none" w:sz="0" w:space="0" w:color="auto"/>
      </w:divBdr>
    </w:div>
    <w:div w:id="1209956430">
      <w:bodyDiv w:val="1"/>
      <w:marLeft w:val="0"/>
      <w:marRight w:val="0"/>
      <w:marTop w:val="0"/>
      <w:marBottom w:val="0"/>
      <w:divBdr>
        <w:top w:val="none" w:sz="0" w:space="0" w:color="auto"/>
        <w:left w:val="none" w:sz="0" w:space="0" w:color="auto"/>
        <w:bottom w:val="none" w:sz="0" w:space="0" w:color="auto"/>
        <w:right w:val="none" w:sz="0" w:space="0" w:color="auto"/>
      </w:divBdr>
      <w:divsChild>
        <w:div w:id="517963186">
          <w:marLeft w:val="0"/>
          <w:marRight w:val="0"/>
          <w:marTop w:val="0"/>
          <w:marBottom w:val="0"/>
          <w:divBdr>
            <w:top w:val="none" w:sz="0" w:space="0" w:color="auto"/>
            <w:left w:val="none" w:sz="0" w:space="0" w:color="auto"/>
            <w:bottom w:val="none" w:sz="0" w:space="0" w:color="auto"/>
            <w:right w:val="none" w:sz="0" w:space="0" w:color="auto"/>
          </w:divBdr>
          <w:divsChild>
            <w:div w:id="1334066134">
              <w:marLeft w:val="0"/>
              <w:marRight w:val="0"/>
              <w:marTop w:val="0"/>
              <w:marBottom w:val="0"/>
              <w:divBdr>
                <w:top w:val="none" w:sz="0" w:space="0" w:color="auto"/>
                <w:left w:val="none" w:sz="0" w:space="0" w:color="auto"/>
                <w:bottom w:val="none" w:sz="0" w:space="0" w:color="auto"/>
                <w:right w:val="none" w:sz="0" w:space="0" w:color="auto"/>
              </w:divBdr>
              <w:divsChild>
                <w:div w:id="7716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90751">
      <w:bodyDiv w:val="1"/>
      <w:marLeft w:val="0"/>
      <w:marRight w:val="0"/>
      <w:marTop w:val="0"/>
      <w:marBottom w:val="0"/>
      <w:divBdr>
        <w:top w:val="none" w:sz="0" w:space="0" w:color="auto"/>
        <w:left w:val="none" w:sz="0" w:space="0" w:color="auto"/>
        <w:bottom w:val="none" w:sz="0" w:space="0" w:color="auto"/>
        <w:right w:val="none" w:sz="0" w:space="0" w:color="auto"/>
      </w:divBdr>
    </w:div>
    <w:div w:id="1461145534">
      <w:bodyDiv w:val="1"/>
      <w:marLeft w:val="0"/>
      <w:marRight w:val="0"/>
      <w:marTop w:val="0"/>
      <w:marBottom w:val="0"/>
      <w:divBdr>
        <w:top w:val="none" w:sz="0" w:space="0" w:color="auto"/>
        <w:left w:val="none" w:sz="0" w:space="0" w:color="auto"/>
        <w:bottom w:val="none" w:sz="0" w:space="0" w:color="auto"/>
        <w:right w:val="none" w:sz="0" w:space="0" w:color="auto"/>
      </w:divBdr>
      <w:divsChild>
        <w:div w:id="212278443">
          <w:marLeft w:val="0"/>
          <w:marRight w:val="0"/>
          <w:marTop w:val="0"/>
          <w:marBottom w:val="0"/>
          <w:divBdr>
            <w:top w:val="none" w:sz="0" w:space="0" w:color="auto"/>
            <w:left w:val="none" w:sz="0" w:space="0" w:color="auto"/>
            <w:bottom w:val="none" w:sz="0" w:space="0" w:color="auto"/>
            <w:right w:val="none" w:sz="0" w:space="0" w:color="auto"/>
          </w:divBdr>
          <w:divsChild>
            <w:div w:id="1533419436">
              <w:marLeft w:val="0"/>
              <w:marRight w:val="0"/>
              <w:marTop w:val="0"/>
              <w:marBottom w:val="0"/>
              <w:divBdr>
                <w:top w:val="none" w:sz="0" w:space="0" w:color="auto"/>
                <w:left w:val="none" w:sz="0" w:space="0" w:color="auto"/>
                <w:bottom w:val="none" w:sz="0" w:space="0" w:color="auto"/>
                <w:right w:val="none" w:sz="0" w:space="0" w:color="auto"/>
              </w:divBdr>
              <w:divsChild>
                <w:div w:id="12368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603">
      <w:bodyDiv w:val="1"/>
      <w:marLeft w:val="0"/>
      <w:marRight w:val="0"/>
      <w:marTop w:val="0"/>
      <w:marBottom w:val="0"/>
      <w:divBdr>
        <w:top w:val="none" w:sz="0" w:space="0" w:color="auto"/>
        <w:left w:val="none" w:sz="0" w:space="0" w:color="auto"/>
        <w:bottom w:val="none" w:sz="0" w:space="0" w:color="auto"/>
        <w:right w:val="none" w:sz="0" w:space="0" w:color="auto"/>
      </w:divBdr>
    </w:div>
    <w:div w:id="1605962503">
      <w:bodyDiv w:val="1"/>
      <w:marLeft w:val="0"/>
      <w:marRight w:val="0"/>
      <w:marTop w:val="0"/>
      <w:marBottom w:val="0"/>
      <w:divBdr>
        <w:top w:val="none" w:sz="0" w:space="0" w:color="auto"/>
        <w:left w:val="none" w:sz="0" w:space="0" w:color="auto"/>
        <w:bottom w:val="none" w:sz="0" w:space="0" w:color="auto"/>
        <w:right w:val="none" w:sz="0" w:space="0" w:color="auto"/>
      </w:divBdr>
      <w:divsChild>
        <w:div w:id="1018851655">
          <w:marLeft w:val="0"/>
          <w:marRight w:val="0"/>
          <w:marTop w:val="0"/>
          <w:marBottom w:val="0"/>
          <w:divBdr>
            <w:top w:val="none" w:sz="0" w:space="0" w:color="auto"/>
            <w:left w:val="none" w:sz="0" w:space="0" w:color="auto"/>
            <w:bottom w:val="none" w:sz="0" w:space="0" w:color="auto"/>
            <w:right w:val="none" w:sz="0" w:space="0" w:color="auto"/>
          </w:divBdr>
          <w:divsChild>
            <w:div w:id="247734249">
              <w:marLeft w:val="0"/>
              <w:marRight w:val="0"/>
              <w:marTop w:val="0"/>
              <w:marBottom w:val="0"/>
              <w:divBdr>
                <w:top w:val="none" w:sz="0" w:space="0" w:color="auto"/>
                <w:left w:val="none" w:sz="0" w:space="0" w:color="auto"/>
                <w:bottom w:val="none" w:sz="0" w:space="0" w:color="auto"/>
                <w:right w:val="none" w:sz="0" w:space="0" w:color="auto"/>
              </w:divBdr>
              <w:divsChild>
                <w:div w:id="3143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7519">
      <w:bodyDiv w:val="1"/>
      <w:marLeft w:val="0"/>
      <w:marRight w:val="0"/>
      <w:marTop w:val="0"/>
      <w:marBottom w:val="0"/>
      <w:divBdr>
        <w:top w:val="none" w:sz="0" w:space="0" w:color="auto"/>
        <w:left w:val="none" w:sz="0" w:space="0" w:color="auto"/>
        <w:bottom w:val="none" w:sz="0" w:space="0" w:color="auto"/>
        <w:right w:val="none" w:sz="0" w:space="0" w:color="auto"/>
      </w:divBdr>
      <w:divsChild>
        <w:div w:id="416943471">
          <w:marLeft w:val="0"/>
          <w:marRight w:val="0"/>
          <w:marTop w:val="0"/>
          <w:marBottom w:val="0"/>
          <w:divBdr>
            <w:top w:val="none" w:sz="0" w:space="0" w:color="auto"/>
            <w:left w:val="none" w:sz="0" w:space="0" w:color="auto"/>
            <w:bottom w:val="none" w:sz="0" w:space="0" w:color="auto"/>
            <w:right w:val="none" w:sz="0" w:space="0" w:color="auto"/>
          </w:divBdr>
          <w:divsChild>
            <w:div w:id="927620200">
              <w:marLeft w:val="0"/>
              <w:marRight w:val="0"/>
              <w:marTop w:val="0"/>
              <w:marBottom w:val="0"/>
              <w:divBdr>
                <w:top w:val="none" w:sz="0" w:space="0" w:color="auto"/>
                <w:left w:val="none" w:sz="0" w:space="0" w:color="auto"/>
                <w:bottom w:val="none" w:sz="0" w:space="0" w:color="auto"/>
                <w:right w:val="none" w:sz="0" w:space="0" w:color="auto"/>
              </w:divBdr>
              <w:divsChild>
                <w:div w:id="7610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49088">
      <w:bodyDiv w:val="1"/>
      <w:marLeft w:val="0"/>
      <w:marRight w:val="0"/>
      <w:marTop w:val="0"/>
      <w:marBottom w:val="0"/>
      <w:divBdr>
        <w:top w:val="none" w:sz="0" w:space="0" w:color="auto"/>
        <w:left w:val="none" w:sz="0" w:space="0" w:color="auto"/>
        <w:bottom w:val="none" w:sz="0" w:space="0" w:color="auto"/>
        <w:right w:val="none" w:sz="0" w:space="0" w:color="auto"/>
      </w:divBdr>
    </w:div>
    <w:div w:id="1814248689">
      <w:bodyDiv w:val="1"/>
      <w:marLeft w:val="0"/>
      <w:marRight w:val="0"/>
      <w:marTop w:val="0"/>
      <w:marBottom w:val="0"/>
      <w:divBdr>
        <w:top w:val="none" w:sz="0" w:space="0" w:color="auto"/>
        <w:left w:val="none" w:sz="0" w:space="0" w:color="auto"/>
        <w:bottom w:val="none" w:sz="0" w:space="0" w:color="auto"/>
        <w:right w:val="none" w:sz="0" w:space="0" w:color="auto"/>
      </w:divBdr>
      <w:divsChild>
        <w:div w:id="1420449334">
          <w:marLeft w:val="0"/>
          <w:marRight w:val="0"/>
          <w:marTop w:val="0"/>
          <w:marBottom w:val="0"/>
          <w:divBdr>
            <w:top w:val="none" w:sz="0" w:space="0" w:color="auto"/>
            <w:left w:val="none" w:sz="0" w:space="0" w:color="auto"/>
            <w:bottom w:val="none" w:sz="0" w:space="0" w:color="auto"/>
            <w:right w:val="none" w:sz="0" w:space="0" w:color="auto"/>
          </w:divBdr>
          <w:divsChild>
            <w:div w:id="550770742">
              <w:marLeft w:val="0"/>
              <w:marRight w:val="0"/>
              <w:marTop w:val="0"/>
              <w:marBottom w:val="0"/>
              <w:divBdr>
                <w:top w:val="none" w:sz="0" w:space="0" w:color="auto"/>
                <w:left w:val="none" w:sz="0" w:space="0" w:color="auto"/>
                <w:bottom w:val="none" w:sz="0" w:space="0" w:color="auto"/>
                <w:right w:val="none" w:sz="0" w:space="0" w:color="auto"/>
              </w:divBdr>
              <w:divsChild>
                <w:div w:id="6003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nrows.org.au/research-program/perpetrator-interventions-research-progra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et.costello.NCERVAWTC\Desktop\Documents%20to%20work%20remotely\Weekend\New%20Templates\Long%20Report%20Document%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BB833-A270-4EF1-BDC4-F971A419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 Document Template Final</Template>
  <TotalTime>0</TotalTime>
  <Pages>10</Pages>
  <Words>4338</Words>
  <Characters>24727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Spanners Online Design and Strategy</Company>
  <LinksUpToDate>false</LinksUpToDate>
  <CharactersWithSpaces>29007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Mayet Costello</dc:creator>
  <cp:keywords/>
  <dc:description/>
  <cp:lastModifiedBy>Jennifer Novak</cp:lastModifiedBy>
  <cp:revision>2</cp:revision>
  <cp:lastPrinted>2014-10-30T05:39:00Z</cp:lastPrinted>
  <dcterms:created xsi:type="dcterms:W3CDTF">2017-12-11T22:24:00Z</dcterms:created>
  <dcterms:modified xsi:type="dcterms:W3CDTF">2017-12-11T22:24:00Z</dcterms:modified>
</cp:coreProperties>
</file>